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/>
    </w:p>
    <w:p>
      <w:pPr/>
    </w:p>
    <w:p>
      <w:pPr>
        <w:rPr>
          <w:rFonts w:ascii="微软雅黑" w:eastAsia="微软雅黑" w:hAnsi="微软雅黑" w:cs="微软雅黑" w:hint="eastAsia"/>
        </w:rPr>
      </w:pPr>
    </w:p>
    <w:p>
      <w:pPr>
        <w:jc w:val="center"/>
        <w:outlineLvl w:val="9"/>
        <w:rPr>
          <w:rFonts w:ascii="微软雅黑" w:eastAsia="微软雅黑" w:hAnsi="微软雅黑" w:cs="微软雅黑" w:hint="eastAsia"/>
          <w:sz w:val="48"/>
          <w:szCs w:val="48"/>
        </w:rPr>
      </w:pPr>
      <w:r>
        <w:rPr>
          <w:rFonts w:ascii="微软雅黑" w:eastAsia="微软雅黑" w:hAnsi="微软雅黑" w:cs="微软雅黑" w:hint="eastAsia"/>
          <w:sz w:val="48"/>
          <w:szCs w:val="48"/>
        </w:rPr>
        <w:t xml:space="preserve">项目支出绩效评价报告</w:t>
      </w:r>
    </w:p>
    <w:p>
      <w:pPr/>
    </w:p>
    <w:p>
      <w:pPr>
        <w:jc w:val="center"/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sz w:val="32"/>
          <w:szCs w:val="32"/>
        </w:rPr>
        <w:t xml:space="preserve">（202</w:t>
      </w:r>
      <w:r>
        <w:rPr>
          <w:rFonts w:eastAsia="方正仿宋简体" w:hint="eastAsia"/>
          <w:sz w:val="32"/>
          <w:szCs w:val="32"/>
          <w:lang w:val="en-US" w:eastAsia="zh-CN"/>
        </w:rPr>
        <w:t xml:space="preserve">4</w:t>
      </w:r>
      <w:r>
        <w:rPr>
          <w:rFonts w:eastAsia="方正仿宋简体" w:hint="eastAsia"/>
          <w:sz w:val="32"/>
          <w:szCs w:val="32"/>
        </w:rPr>
        <w:t xml:space="preserve">年度）</w:t>
      </w:r>
    </w:p>
    <w:p>
      <w:pPr/>
    </w:p>
    <w:p>
      <w:pPr/>
    </w:p>
    <w:p>
      <w:pPr/>
    </w:p>
    <w:p>
      <w:pPr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/>
    </w:p>
    <w:p>
      <w:pPr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b/>
          <w:sz w:val="32"/>
          <w:szCs w:val="32"/>
        </w:rPr>
        <w:t xml:space="preserve">项目名称</w:t>
      </w:r>
      <w:r>
        <w:rPr>
          <w:rFonts w:eastAsia="方正仿宋简体" w:hint="eastAsia"/>
          <w:sz w:val="32"/>
          <w:szCs w:val="32"/>
        </w:rPr>
        <w:t xml:space="preserve">：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 xml:space="preserve">都拉塔口岸基础设施升级改造项目（2024年供排水）</w:t>
      </w:r>
    </w:p>
    <w:p>
      <w:pPr>
        <w:rPr>
          <w:rFonts w:eastAsia="方正仿宋简体" w:hint="default"/>
          <w:sz w:val="32"/>
          <w:szCs w:val="32"/>
          <w:lang w:val="en-US" w:eastAsia="zh-CN"/>
        </w:rPr>
      </w:pPr>
      <w:r>
        <w:rPr>
          <w:rFonts w:eastAsia="方正仿宋简体" w:hint="eastAsia"/>
          <w:b/>
          <w:sz w:val="32"/>
          <w:szCs w:val="32"/>
        </w:rPr>
        <w:t xml:space="preserve">实施单位（公章）</w:t>
      </w:r>
      <w:r>
        <w:rPr>
          <w:rFonts w:eastAsia="方正仿宋简体" w:hint="eastAsia"/>
          <w:sz w:val="32"/>
          <w:szCs w:val="32"/>
        </w:rPr>
        <w:t xml:space="preserve">：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 xml:space="preserve">伊犁州都拉塔口岸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 xml:space="preserve">管理委员会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 xml:space="preserve">会</w:t>
      </w:r>
    </w:p>
    <w:p>
      <w:pPr>
        <w:rPr>
          <w:rFonts w:eastAsia="方正仿宋简体" w:hint="eastAsia"/>
          <w:sz w:val="32"/>
          <w:szCs w:val="32"/>
        </w:rPr>
      </w:pPr>
      <w:r>
        <w:rPr>
          <w:rFonts w:eastAsia="方正仿宋简体" w:hint="eastAsia"/>
          <w:b/>
          <w:sz w:val="32"/>
          <w:szCs w:val="32"/>
        </w:rPr>
        <w:t xml:space="preserve">主管部门（公章）</w:t>
      </w:r>
      <w:r>
        <w:rPr>
          <w:rFonts w:eastAsia="方正仿宋简体" w:hint="eastAsia"/>
          <w:sz w:val="32"/>
          <w:szCs w:val="32"/>
        </w:rPr>
        <w:t xml:space="preserve">：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 xml:space="preserve">伊犁州都拉塔口岸管理委员会</w:t>
      </w:r>
      <w:bookmarkStart w:id="0" w:name="_GoBack"/>
      <w:bookmarkEnd w:id="0"/>
    </w:p>
    <w:p>
      <w:pPr>
        <w:rPr>
          <w:rFonts w:eastAsia="方正仿宋简体" w:hint="eastAsia"/>
          <w:sz w:val="32"/>
          <w:szCs w:val="32"/>
          <w:lang w:eastAsia="zh-CN"/>
        </w:rPr>
      </w:pPr>
      <w:r>
        <w:rPr>
          <w:rFonts w:eastAsia="方正仿宋简体" w:hint="eastAsia"/>
          <w:b/>
          <w:sz w:val="32"/>
          <w:szCs w:val="32"/>
        </w:rPr>
        <w:t xml:space="preserve">项目负责人（签章）</w:t>
      </w:r>
      <w:r>
        <w:rPr>
          <w:rFonts w:eastAsia="方正仿宋简体" w:hint="eastAsia"/>
          <w:sz w:val="32"/>
          <w:szCs w:val="32"/>
        </w:rPr>
        <w:t xml:space="preserve">：</w:t>
      </w:r>
      <w:r>
        <w:rPr>
          <w:rFonts w:eastAsia="方正仿宋简体" w:hint="eastAsia"/>
          <w:sz w:val="32"/>
          <w:szCs w:val="32"/>
          <w:lang w:eastAsia="zh-CN"/>
        </w:rPr>
        <w:t xml:space="preserve">张鹏</w:t>
      </w:r>
    </w:p>
    <w:p>
      <w:pPr>
        <w:rPr>
          <w:rFonts w:hint="eastAsia"/>
        </w:rPr>
      </w:pPr>
      <w:r>
        <w:rPr>
          <w:rFonts w:eastAsia="方正仿宋简体" w:hint="eastAsia"/>
          <w:b/>
          <w:sz w:val="32"/>
          <w:szCs w:val="32"/>
        </w:rPr>
        <w:t xml:space="preserve">填报时间</w:t>
      </w:r>
      <w:r>
        <w:rPr>
          <w:rFonts w:hint="eastAsia"/>
        </w:rPr>
        <w:t xml:space="preserve">：202</w:t>
      </w:r>
      <w:r>
        <w:rPr>
          <w:rFonts w:hint="eastAsia"/>
          <w:lang w:val="en-US" w:eastAsia="zh-CN"/>
        </w:rPr>
        <w:t xml:space="preserve">5</w:t>
      </w:r>
      <w:r>
        <w:rPr>
          <w:rFonts w:hint="eastAsia"/>
        </w:rPr>
        <w:t xml:space="preserve">年</w:t>
      </w:r>
      <w:r>
        <w:rPr>
          <w:rFonts w:hint="eastAsia"/>
          <w:lang w:val="en-US" w:eastAsia="zh-CN"/>
        </w:rPr>
        <w:t xml:space="preserve">5</w:t>
      </w:r>
      <w:r>
        <w:rPr>
          <w:rFonts w:hint="eastAsia"/>
        </w:rPr>
        <w:t xml:space="preserve">月</w:t>
      </w:r>
      <w:r>
        <w:rPr>
          <w:rFonts w:hint="eastAsia"/>
          <w:lang w:val="en-US" w:eastAsia="zh-CN"/>
        </w:rPr>
        <w:t xml:space="preserve">26</w:t>
      </w:r>
      <w:r>
        <w:rPr>
          <w:rFonts w:hint="eastAsia"/>
        </w:rPr>
        <w:t xml:space="preserve"> 日</w:t>
      </w:r>
    </w:p>
    <w:p>
      <w:pPr/>
      <w:r>
        <w:t xml:space="preserve"> 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dt>
      <w:sdtPr>
        <w:rPr>
          <w:rFonts w:ascii="黑体" w:eastAsia="黑体" w:hAnsi="黑体" w:cs="黑体" w:hint="eastAsia"/>
          <w:b/>
          <w:bCs/>
          <w:kern w:val="2"/>
          <w:sz w:val="32"/>
          <w:szCs w:val="32"/>
          <w:lang w:val="en-US" w:eastAsia="zh-CN" w:bidi="ar-SA"/>
        </w:rPr>
        <w:id w:val="147470797"/>
        <w:docPartObj>
          <w:docPartGallery w:val="Table of Contents"/>
          <w:docPartUnique/>
        </w:docPartObj>
      </w:sdtPr>
      <w:sdtEndPr>
        <w:rPr>
          <w:rFonts w:ascii="Times New Roman" w:eastAsia="仿宋_GB2312" w:hAnsi="Times New Roman" w:cs="Times New Roman" w:hint="eastAsia"/>
          <w:b/>
          <w:bCs/>
          <w:kern w:val="2"/>
          <w:sz w:val="30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right="0" w:firstLine="0" w:leftChars="0" w:rightChars="0" w:firstLineChars="0"/>
            <w:jc w:val="center"/>
            <w:rPr>
              <w:rFonts w:ascii="黑体" w:eastAsia="黑体" w:hAnsi="黑体" w:cs="黑体" w:hint="eastAsia"/>
              <w:b/>
              <w:bCs/>
              <w:sz w:val="32"/>
              <w:szCs w:val="32"/>
            </w:rPr>
          </w:pPr>
          <w:r>
            <w:rPr>
              <w:rFonts w:ascii="黑体" w:eastAsia="黑体" w:hAnsi="黑体" w:cs="黑体" w:hint="eastAsia"/>
              <w:b/>
              <w:bCs/>
              <w:sz w:val="32"/>
              <w:szCs w:val="32"/>
            </w:rPr>
            <w:t xml:space="preserve">目录</w:t>
          </w:r>
        </w:p>
        <w:p>
          <w:pPr>
            <w:pStyle w:val="TOC1"/>
            <w:tabs>
              <w:tab w:val="right" w:leader="dot" w:pos="8844"/>
            </w:tabs>
            <w:rPr>
              <w:sz w:val="32"/>
              <w:szCs w:val="32"/>
            </w:rPr>
          </w:pPr>
          <w:r>
            <w:rPr>
              <w:rFonts w:hint="eastAsia"/>
              <w:sz w:val="32"/>
              <w:szCs w:val="32"/>
            </w:rPr>
            <w:fldChar w:fldCharType="begin"/>
          </w:r>
          <w:r>
            <w:rPr>
              <w:rFonts w:hint="eastAsia"/>
              <w:sz w:val="32"/>
              <w:szCs w:val="32"/>
            </w:rPr>
            <w:instrText xml:space="preserve">TOC \o "1-2" \h \u</w:instrText>
          </w:r>
          <w:r>
            <w:rPr>
              <w:rFonts w:hint="eastAsia"/>
              <w:sz w:val="32"/>
              <w:szCs w:val="32"/>
            </w:rPr>
            <w:fldChar w:fldCharType="separate"/>
          </w:r>
          <w:hyperlink w:anchor="_Toc12416" w:history="1">
            <w:r>
              <w:rPr>
                <w:rFonts w:eastAsia="黑体" w:hAnsi="黑体" w:hint="eastAsia"/>
                <w:sz w:val="32"/>
                <w:szCs w:val="32"/>
              </w:rPr>
              <w:t xml:space="preserve">一、基本情况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_Toc12416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1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8724" w:history="1">
            <w:r>
              <w:rPr>
                <w:rFonts w:eastAsia="仿宋" w:hint="eastAsia"/>
                <w:bCs/>
                <w:sz w:val="32"/>
                <w:szCs w:val="32"/>
              </w:rPr>
              <w:t xml:space="preserve">（一）项目概况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_Toc8724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1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22761" w:history="1">
            <w:r>
              <w:rPr>
                <w:rFonts w:eastAsia="仿宋" w:hint="eastAsia"/>
                <w:bCs/>
                <w:sz w:val="32"/>
                <w:szCs w:val="32"/>
              </w:rPr>
              <w:t xml:space="preserve">（二）项目绩效目标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_Toc22761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2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1"/>
            <w:tabs>
              <w:tab w:val="right" w:leader="dot" w:pos="8844"/>
            </w:tabs>
            <w:rPr>
              <w:sz w:val="32"/>
              <w:szCs w:val="32"/>
            </w:rPr>
          </w:pPr>
          <w:hyperlink w:anchor="_Toc4204" w:history="1">
            <w:r>
              <w:rPr>
                <w:rFonts w:ascii="黑体" w:eastAsia="黑体" w:hAnsi="黑体" w:hint="eastAsia"/>
                <w:sz w:val="32"/>
                <w:szCs w:val="32"/>
              </w:rPr>
              <w:t xml:space="preserve">二、绩效评价工作开展情况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_Toc4204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3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6608" w:history="1">
            <w:r>
              <w:rPr>
                <w:rFonts w:eastAsia="仿宋" w:hint="eastAsia"/>
                <w:bCs/>
                <w:sz w:val="32"/>
                <w:szCs w:val="32"/>
              </w:rPr>
              <w:t xml:space="preserve">（一）绩效评价目的、对象和范围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_Toc6608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3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25094" w:history="1">
            <w:r>
              <w:rPr>
                <w:rFonts w:eastAsia="仿宋" w:hint="eastAsia"/>
                <w:bCs/>
                <w:sz w:val="32"/>
                <w:szCs w:val="32"/>
              </w:rPr>
              <w:t xml:space="preserve">（二）绩效评价原则、评价指标体系、评价方法、评价标准等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_Toc25094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6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16302" w:history="1">
            <w:r>
              <w:rPr>
                <w:rFonts w:ascii="仿宋" w:eastAsia="仿宋" w:hint="eastAsia"/>
                <w:bCs/>
                <w:sz w:val="32"/>
                <w:szCs w:val="32"/>
              </w:rPr>
              <w:t xml:space="preserve">（三）绩效评价工作过程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_Toc16302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9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1"/>
            <w:tabs>
              <w:tab w:val="right" w:leader="dot" w:pos="8844"/>
            </w:tabs>
            <w:rPr>
              <w:sz w:val="32"/>
              <w:szCs w:val="32"/>
            </w:rPr>
          </w:pPr>
          <w:hyperlink w:anchor="_Toc6537" w:history="1">
            <w:r>
              <w:rPr>
                <w:rFonts w:ascii="黑体" w:eastAsia="黑体" w:hAnsi="黑体" w:hint="eastAsia"/>
                <w:sz w:val="32"/>
                <w:szCs w:val="32"/>
              </w:rPr>
              <w:t xml:space="preserve">三、综合评价情况及评价结论</w:t>
            </w:r>
            <w:r>
              <w:rPr>
                <w:rFonts w:ascii="黑体" w:eastAsia="黑体" w:hAnsi="黑体" w:hint="eastAsia"/>
                <w:sz w:val="32"/>
                <w:szCs w:val="32"/>
                <w:lang w:eastAsia="zh-CN"/>
              </w:rPr>
              <w:t xml:space="preserve">（</w:t>
            </w:r>
            <w:r>
              <w:rPr>
                <w:rFonts w:ascii="黑体" w:eastAsia="黑体" w:hAnsi="黑体" w:hint="eastAsia"/>
                <w:sz w:val="32"/>
                <w:szCs w:val="32"/>
                <w:lang w:val="en-US" w:eastAsia="zh-CN"/>
              </w:rPr>
              <w:t xml:space="preserve">附相关评分表</w:t>
            </w:r>
            <w:r>
              <w:rPr>
                <w:rFonts w:ascii="黑体" w:eastAsia="黑体" w:hAnsi="黑体" w:hint="eastAsia"/>
                <w:sz w:val="32"/>
                <w:szCs w:val="32"/>
                <w:lang w:eastAsia="zh-CN"/>
              </w:rPr>
              <w:t xml:space="preserve">）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_Toc6537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10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12913" w:history="1">
            <w:r>
              <w:rPr>
                <w:rFonts w:ascii="仿宋" w:eastAsia="仿宋" w:hint="eastAsia"/>
                <w:bCs/>
                <w:sz w:val="32"/>
                <w:szCs w:val="32"/>
              </w:rPr>
              <w:t xml:space="preserve">（一）综合评价情况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_Toc12913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10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14211" w:history="1">
            <w:r>
              <w:rPr>
                <w:rFonts w:ascii="仿宋" w:eastAsia="仿宋" w:hint="eastAsia"/>
                <w:bCs/>
                <w:sz w:val="32"/>
                <w:szCs w:val="32"/>
              </w:rPr>
              <w:t xml:space="preserve">（二）评价结论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_Toc14211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11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1"/>
            <w:tabs>
              <w:tab w:val="right" w:leader="dot" w:pos="8844"/>
            </w:tabs>
            <w:rPr>
              <w:sz w:val="32"/>
              <w:szCs w:val="32"/>
            </w:rPr>
          </w:pPr>
          <w:hyperlink w:anchor="_Toc12125" w:history="1">
            <w:r>
              <w:rPr>
                <w:rFonts w:ascii="黑体" w:eastAsia="黑体" w:hAnsi="黑体" w:hint="eastAsia"/>
                <w:sz w:val="32"/>
                <w:szCs w:val="32"/>
              </w:rPr>
              <w:t xml:space="preserve">四、绩效评价指标分析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_Toc12125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12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3920" w:history="1">
            <w:r>
              <w:rPr>
                <w:rFonts w:ascii="仿宋" w:eastAsia="仿宋" w:hint="eastAsia"/>
                <w:bCs/>
                <w:sz w:val="32"/>
                <w:szCs w:val="32"/>
              </w:rPr>
              <w:t xml:space="preserve">（一）项目决策情况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_Toc3920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12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17121" w:history="1">
            <w:r>
              <w:rPr>
                <w:rFonts w:ascii="仿宋" w:eastAsia="仿宋" w:hint="eastAsia"/>
                <w:bCs/>
                <w:sz w:val="32"/>
                <w:szCs w:val="32"/>
              </w:rPr>
              <w:t xml:space="preserve">（二）项目过程情况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_Toc17121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15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28703" w:history="1">
            <w:r>
              <w:rPr>
                <w:rFonts w:ascii="仿宋" w:eastAsia="仿宋" w:hint="eastAsia"/>
                <w:bCs/>
                <w:sz w:val="32"/>
                <w:szCs w:val="32"/>
              </w:rPr>
              <w:t xml:space="preserve">（三）项目产出情况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_Toc28703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17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2567" w:history="1">
            <w:r>
              <w:rPr>
                <w:rFonts w:ascii="仿宋" w:eastAsia="仿宋" w:hint="eastAsia"/>
                <w:bCs/>
                <w:sz w:val="32"/>
                <w:szCs w:val="32"/>
              </w:rPr>
              <w:t xml:space="preserve">（四）项目效益情况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_Toc2567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20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11035" w:history="1">
            <w:r>
              <w:rPr>
                <w:rFonts w:ascii="仿宋" w:eastAsia="仿宋" w:hint="eastAsia"/>
                <w:bCs/>
                <w:sz w:val="32"/>
                <w:szCs w:val="32"/>
              </w:rPr>
              <w:t xml:space="preserve">（五）预算执行进度与绩效指标总体完成率偏差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_Toc11035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21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1"/>
            <w:tabs>
              <w:tab w:val="right" w:leader="dot" w:pos="8844"/>
            </w:tabs>
            <w:rPr>
              <w:sz w:val="32"/>
              <w:szCs w:val="32"/>
            </w:rPr>
          </w:pPr>
          <w:hyperlink w:anchor="_Toc16488" w:history="1">
            <w:r>
              <w:rPr>
                <w:rFonts w:ascii="黑体" w:eastAsia="黑体" w:hAnsi="黑体" w:hint="eastAsia"/>
                <w:sz w:val="32"/>
                <w:szCs w:val="32"/>
              </w:rPr>
              <w:t xml:space="preserve">五、主要经验及做法、存在的问题及原因分析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_Toc16488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21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2067" w:history="1">
            <w:r>
              <w:rPr>
                <w:rFonts w:ascii="仿宋" w:eastAsia="仿宋" w:hint="eastAsia"/>
                <w:bCs/>
                <w:sz w:val="32"/>
                <w:szCs w:val="32"/>
              </w:rPr>
              <w:t xml:space="preserve">（一）主要经验及做法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_Toc2067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21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2"/>
            <w:tabs>
              <w:tab w:val="right" w:leader="dot" w:pos="8844"/>
            </w:tabs>
            <w:rPr>
              <w:sz w:val="32"/>
              <w:szCs w:val="32"/>
            </w:rPr>
          </w:pPr>
          <w:hyperlink w:anchor="_Toc1745" w:history="1">
            <w:r>
              <w:rPr>
                <w:rFonts w:ascii="仿宋" w:eastAsia="仿宋" w:hint="eastAsia"/>
                <w:bCs/>
                <w:sz w:val="32"/>
                <w:szCs w:val="32"/>
              </w:rPr>
              <w:t xml:space="preserve">（二）存在的问题及原因分析</w:t>
            </w:r>
            <w:r>
              <w:rPr>
                <w:rFonts w:ascii="仿宋" w:eastAsia="仿宋" w:hint="eastAsia"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_Toc1745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22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1"/>
            <w:tabs>
              <w:tab w:val="right" w:leader="dot" w:pos="8844"/>
            </w:tabs>
            <w:rPr>
              <w:sz w:val="32"/>
              <w:szCs w:val="32"/>
            </w:rPr>
          </w:pPr>
          <w:hyperlink w:anchor="_Toc1032" w:history="1">
            <w:r>
              <w:rPr>
                <w:rFonts w:ascii="黑体" w:eastAsia="黑体" w:hAnsi="黑体" w:cs="Times New Roman" w:hint="eastAsia"/>
                <w:kern w:val="2"/>
                <w:sz w:val="32"/>
                <w:szCs w:val="32"/>
                <w:lang w:val="en-US" w:eastAsia="zh-CN" w:bidi="ar-SA"/>
              </w:rPr>
              <w:t xml:space="preserve">六、</w:t>
            </w:r>
            <w:r>
              <w:rPr>
                <w:rFonts w:ascii="黑体" w:eastAsia="黑体" w:hAnsi="黑体" w:hint="eastAsia"/>
                <w:sz w:val="32"/>
                <w:szCs w:val="32"/>
              </w:rPr>
              <w:t xml:space="preserve">有关建议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_Toc1032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22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pStyle w:val="TOC1"/>
            <w:tabs>
              <w:tab w:val="right" w:leader="dot" w:pos="8844"/>
            </w:tabs>
            <w:rPr>
              <w:sz w:val="32"/>
              <w:szCs w:val="32"/>
            </w:rPr>
          </w:pPr>
          <w:hyperlink w:anchor="_Toc28667" w:history="1">
            <w:r>
              <w:rPr>
                <w:rFonts w:ascii="黑体" w:eastAsia="黑体" w:hAnsi="黑体" w:hint="eastAsia"/>
                <w:sz w:val="32"/>
                <w:szCs w:val="32"/>
              </w:rPr>
              <w:t xml:space="preserve">七、其他需要说明的问题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PAGEREF _Toc28667 \h </w:instrText>
            </w:r>
            <w:r>
              <w:rPr>
                <w:sz w:val="32"/>
                <w:szCs w:val="32"/>
              </w:rPr>
              <w:fldChar w:fldCharType="separate"/>
            </w:r>
            <w:r>
              <w:rPr>
                <w:sz w:val="32"/>
                <w:szCs w:val="32"/>
              </w:rPr>
              <w:t xml:space="preserve">22</w:t>
            </w:r>
            <w:r>
              <w:rPr>
                <w:sz w:val="32"/>
                <w:szCs w:val="32"/>
              </w:rPr>
              <w:fldChar w:fldCharType="end"/>
            </w:r>
          </w:hyperlink>
        </w:p>
        <w:p>
          <w:pPr>
            <w:rPr>
              <w:rFonts w:ascii="Times New Roman" w:eastAsia="仿宋_GB2312" w:hAnsi="Times New Roman" w:cs="Times New Roman" w:hint="eastAsia"/>
              <w:b/>
              <w:kern w:val="2"/>
              <w:sz w:val="30"/>
              <w:szCs w:val="24"/>
              <w:lang w:val="en-US" w:eastAsia="zh-CN" w:bidi="ar-SA"/>
            </w:rPr>
          </w:pPr>
          <w:r>
            <w:rPr>
              <w:rFonts w:hint="eastAsia"/>
              <w:sz w:val="32"/>
              <w:szCs w:val="32"/>
            </w:rPr>
            <w:fldChar w:fldCharType="end"/>
          </w:r>
        </w:p>
      </w:sdtContent>
    </w:sdt>
    <w:p>
      <w:pPr>
        <w:rPr>
          <w:rFonts w:ascii="Times New Roman" w:eastAsia="仿宋_GB2312" w:hAnsi="Times New Roman" w:cs="Times New Roman" w:hint="eastAsia"/>
          <w:b/>
          <w:kern w:val="2"/>
          <w:sz w:val="30"/>
          <w:szCs w:val="24"/>
          <w:lang w:val="en-US" w:eastAsia="zh-CN" w:bidi="ar-SA"/>
        </w:rPr>
      </w:pPr>
    </w:p>
    <w:p>
      <w:pPr>
        <w:rPr>
          <w:rFonts w:hint="eastAsia"/>
        </w:rPr>
        <w:sectPr>
          <w:pgSz w:w="11906" w:h="16838" w:orient="portrait"/>
          <w:pgMar w:top="1928" w:right="1531" w:bottom="1701" w:left="1531" w:header="737" w:footer="851" w:gutter="0"/>
          <w:pgBorders/>
          <w:cols w:num="1" w:space="720">
            <w:col w:w="8844" w:space="720"/>
          </w:cols>
          <w:docGrid w:type="lines" w:linePitch="408" w:charSpace="0"/>
        </w:sectPr>
      </w:pPr>
    </w:p>
    <w:p>
      <w:pPr>
        <w:jc w:val="center"/>
        <w:outlineLvl w:val="9"/>
        <w:rPr>
          <w:rFonts w:eastAsia="微软雅黑" w:hint="eastAsia"/>
          <w:sz w:val="44"/>
          <w:szCs w:val="44"/>
        </w:rPr>
      </w:pPr>
      <w:r>
        <w:rPr>
          <w:rFonts w:eastAsia="微软雅黑" w:hint="eastAsia"/>
          <w:sz w:val="44"/>
          <w:szCs w:val="44"/>
        </w:rPr>
        <w:t xml:space="preserve">项目支出绩效评价报告</w:t>
      </w:r>
    </w:p>
    <w:p>
      <w:pPr>
        <w:ind w:firstLine="600" w:firstLineChars="200"/>
      </w:pPr>
    </w:p>
    <w:p>
      <w:pPr>
        <w:ind w:firstLine="640" w:firstLineChars="200"/>
        <w:outlineLvl w:val="0"/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</w:pPr>
      <w:bookmarkStart w:id="1" w:name="_Toc12416"/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一、基本情况</w:t>
      </w:r>
      <w:bookmarkEnd w:id="1"/>
    </w:p>
    <w:p>
      <w:pPr>
        <w:spacing w:line="600" w:lineRule="exact"/>
        <w:ind w:firstLine="640" w:firstLineChars="200"/>
        <w:outlineLvl w:val="1"/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</w:pPr>
      <w:bookmarkStart w:id="2" w:name="_Toc8724"/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（一）项目概况</w:t>
      </w:r>
      <w:bookmarkEnd w:id="2"/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项目背景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2018年10月，国务院办公厅发布了《关于保持基础设施领域补短板力度的指导意见》（国发办〔2018〕101号）文件精神文中强调支持“一带一路”建设、京津冀协同发展、长江经济带发展、粤港澳大湾区建设等重大战略。围绕打好精准脱贫、污染防治攻坚战，着力补齐铁路、公路水运、机场、水利、能源、农业农村、生态环保、公共服务、城乡基础设施、棚户区改造等领域短板，加快推进已纳入规划的重大项目。近年来都拉塔口岸社会经济长足发展和稳定，出现欣欣向荣的大好局面，已进入一个跨越式发展时期，城镇化水平不断加快。然而都拉塔口岸重要的基础设施供水设施跟不上经济发展的速度，园区建设面积也不断增加，滞后的供水设施已经远远不能满足口岸现状及今后发展要求，成为阻碍园区居民生活质量和经济社会发展的瓶颈，供水等基础设施建设需上一个台阶。因此为加快本区域经济的高质量发展，改善生活生产环境，满足人们对生活水平及生存环境质量提高的需求，都拉塔基础设施升级改造项目的建设是非常迫切和必要的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2.主要内容及实施情况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  <w:lang w:eastAsia="zh-CN"/>
        </w:rPr>
        <w:t xml:space="preserve">(1)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主要内容：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通过改造排污管网5032米、给水管网3668米、钢筋混凝土检查井169座、管网地貌恢复28994.5平方米，完善都拉塔口岸市政基础设施功能，改善都拉塔口岸居民生活质量，提升公共服务水平。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  <w:lang w:eastAsia="zh-CN"/>
        </w:rPr>
        <w:t xml:space="preserve">(2)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实施情况：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已完成改造排污管网4214米、给水管网5365.33米、钢筋混凝土检查井165座、管网地貌恢复28994.5平方米，完善了都拉塔口岸市政基础设施功能，改善都拉塔口岸居民生活质量，提升了公共服务水平。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3.资金投入和使用情况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  <w:lang w:eastAsia="zh-CN"/>
        </w:rPr>
        <w:t xml:space="preserve">(1)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资金投入情况：该项目年初预算数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0.00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万元，全年预算数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1468.00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万元，实际总投入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1468.00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万元，该项目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highlight w:val="none"/>
        </w:rPr>
        <w:t xml:space="preserve">资金落实到位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highlight w:val="none"/>
          <w:lang w:val="en-US" w:eastAsia="zh-CN"/>
        </w:rPr>
        <w:t xml:space="preserve">1468.00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万元，资金来源为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eastAsia="zh-CN"/>
        </w:rPr>
        <w:t xml:space="preserve">：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财政拨款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  <w:lang w:eastAsia="zh-CN"/>
        </w:rPr>
        <w:t xml:space="preserve">(2)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资金使用情况：该项目年初预算数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0.00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万元，全年预算数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1468.00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万元，全年执行数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1106.75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万元，预算执行率为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75.39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%，</w:t>
      </w:r>
      <w:r>
        <w:rPr>
          <w:rFonts w:ascii="方正仿宋简体" w:eastAsia="方正仿宋简体" w:hAnsi="方正仿宋简体" w:cs="方正仿宋简体" w:hint="eastAsia"/>
          <w:sz w:val="32"/>
          <w:szCs w:val="32"/>
          <w:highlight w:val="none"/>
        </w:rPr>
        <w:t xml:space="preserve">用于：建筑工程费</w:t>
      </w:r>
      <w:r>
        <w:rPr>
          <w:rFonts w:ascii="方正仿宋简体" w:eastAsia="方正仿宋简体" w:hAnsi="方正仿宋简体" w:cs="方正仿宋简体" w:hint="eastAsia"/>
          <w:sz w:val="32"/>
          <w:szCs w:val="32"/>
          <w:highlight w:val="none"/>
          <w:lang w:eastAsia="zh-CN"/>
        </w:rPr>
        <w:t xml:space="preserve">1061.173万元，工程建设其他费45.574万元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。</w:t>
      </w:r>
    </w:p>
    <w:p>
      <w:pPr>
        <w:spacing w:line="600" w:lineRule="exact"/>
        <w:ind w:firstLine="640" w:firstLineChars="200"/>
        <w:outlineLvl w:val="1"/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</w:pPr>
      <w:bookmarkStart w:id="3" w:name="_Toc22761"/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（二）项目绩效目标</w:t>
      </w:r>
      <w:bookmarkEnd w:id="3"/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1.总体目标：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通过改造排污管网5032米、给水管网3668米、钢筋混凝土检查井169座、管网地貌恢复28994.5平方米，完善都拉塔口岸市政基础设施功能，改善都拉塔口岸居民生活质量，提升公共服务水平。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  <w:highlight w:val="none"/>
        </w:rPr>
      </w:pP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2.阶段性目标：</w:t>
      </w:r>
      <w:r>
        <w:rPr>
          <w:rFonts w:ascii="方正仿宋简体" w:eastAsia="方正仿宋简体" w:hAnsi="方正仿宋简体" w:cs="方正仿宋简体" w:hint="eastAsia"/>
          <w:b w:val="0"/>
          <w:bCs w:val="0"/>
          <w:sz w:val="32"/>
          <w:szCs w:val="32"/>
          <w:highlight w:val="none"/>
          <w:lang w:eastAsia="zh-CN"/>
        </w:rPr>
        <w:t xml:space="preserve">截止到</w:t>
      </w:r>
      <w:r>
        <w:rPr>
          <w:rFonts w:ascii="方正仿宋简体" w:eastAsia="方正仿宋简体" w:hAnsi="方正仿宋简体" w:cs="方正仿宋简体" w:hint="eastAsia"/>
          <w:b w:val="0"/>
          <w:bCs w:val="0"/>
          <w:sz w:val="32"/>
          <w:szCs w:val="32"/>
          <w:highlight w:val="none"/>
          <w:lang w:val="en-US" w:eastAsia="zh-CN"/>
        </w:rPr>
        <w:t xml:space="preserve">2024年12月31日按照</w:t>
      </w:r>
      <w:r>
        <w:rPr>
          <w:rFonts w:ascii="方正仿宋简体" w:eastAsia="方正仿宋简体" w:hAnsi="方正仿宋简体" w:cs="方正仿宋简体" w:hint="eastAsia"/>
          <w:sz w:val="32"/>
          <w:szCs w:val="32"/>
          <w:highlight w:val="none"/>
        </w:rPr>
        <w:t xml:space="preserve">改造排污管网5032米、给水管网3668米、钢筋混凝土检查井169座、管网地貌恢复28994.5平方米</w:t>
      </w:r>
      <w:r>
        <w:rPr>
          <w:rFonts w:ascii="方正仿宋简体" w:eastAsia="方正仿宋简体" w:hAnsi="方正仿宋简体" w:cs="方正仿宋简体" w:hint="eastAsia"/>
          <w:sz w:val="32"/>
          <w:szCs w:val="32"/>
          <w:highlight w:val="none"/>
          <w:lang w:eastAsia="zh-CN"/>
        </w:rPr>
        <w:t xml:space="preserve">的建设顺序</w:t>
      </w:r>
      <w:r>
        <w:rPr>
          <w:rFonts w:ascii="方正仿宋简体" w:eastAsia="方正仿宋简体" w:hAnsi="方正仿宋简体" w:cs="方正仿宋简体" w:hint="eastAsia"/>
          <w:sz w:val="32"/>
          <w:szCs w:val="32"/>
          <w:highlight w:val="none"/>
        </w:rPr>
        <w:t xml:space="preserve">，</w:t>
      </w:r>
      <w:r>
        <w:rPr>
          <w:rFonts w:ascii="方正仿宋简体" w:eastAsia="方正仿宋简体" w:hAnsi="方正仿宋简体" w:cs="方正仿宋简体" w:hint="eastAsia"/>
          <w:sz w:val="32"/>
          <w:szCs w:val="32"/>
          <w:highlight w:val="none"/>
          <w:lang w:eastAsia="zh-CN"/>
        </w:rPr>
        <w:t xml:space="preserve">完成项目工程量。</w:t>
      </w:r>
      <w:r>
        <w:rPr>
          <w:rFonts w:ascii="方正仿宋简体" w:eastAsia="方正仿宋简体" w:hAnsi="方正仿宋简体" w:cs="方正仿宋简体" w:hint="eastAsia"/>
          <w:sz w:val="32"/>
          <w:szCs w:val="32"/>
          <w:highlight w:val="none"/>
        </w:rPr>
        <w:t xml:space="preserve">完善都拉塔口岸市政基础设施功能，改善都拉塔口岸居民生活质量，提升公共服务水平。</w:t>
      </w:r>
    </w:p>
    <w:p>
      <w:pPr>
        <w:ind w:firstLine="640" w:firstLineChars="200"/>
        <w:outlineLvl w:val="0"/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</w:pPr>
      <w:bookmarkStart w:id="4" w:name="_Toc4204"/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二、绩效评价工作开展情况</w:t>
      </w:r>
      <w:bookmarkEnd w:id="4"/>
    </w:p>
    <w:p>
      <w:pPr>
        <w:spacing w:line="600" w:lineRule="exact"/>
        <w:ind w:firstLine="640" w:firstLineChars="200"/>
        <w:outlineLvl w:val="1"/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</w:pPr>
      <w:bookmarkStart w:id="5" w:name="_Toc6608"/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（一）绩效评价目的、对象和范围</w:t>
      </w:r>
      <w:bookmarkEnd w:id="5"/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1.绩效评价完整性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eastAsia="zh-CN"/>
        </w:rPr>
        <w:t xml:space="preserve">进行了细致的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梳理与评估。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在评价指标体系的构建上，充分考虑了项目的性质、目标以及预期成果，选取了具有代表性和可衡量性的关键指标，涵盖了</w:t>
      </w:r>
      <w:r>
        <w:rPr>
          <w:rFonts w:ascii="方正仿宋简体" w:eastAsia="方正仿宋简体" w:hAnsi="方正仿宋简体" w:cs="方正仿宋简体" w:hint="eastAsia"/>
          <w:sz w:val="32"/>
          <w:szCs w:val="32"/>
          <w:highlight w:val="none"/>
        </w:rPr>
        <w:t xml:space="preserve">经济效益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、社会效益等多个维度，力求全方位反映项目的绩效状况。同时，对于每个指标的评价标准和数据来源均进行了明确说明，确保评价结果的客观性和可追溯性。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eastAsia="zh-CN"/>
        </w:rPr>
        <w:t xml:space="preserve">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处理和说明，保证了评价数据的真实性和有效性。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将继续完善绩效评价体系，不断提升评价工作的质量和水平，以更好地服务于项目的管理和优化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2.绩效评价的目的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  <w:lang w:eastAsia="zh-CN"/>
        </w:rPr>
        <w:t xml:space="preserve">(1)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评估项目实施效果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通过对项目预算执行情况及各项绩效目标达成程度的系统性分析，全面、客观地评估项目在预定周期内的实施效果，包括社会效益等多维度指标，为项目后续的改进与优化提供科学依据。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(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2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)提升资源利用效率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  <w:lang w:eastAsia="zh-CN"/>
        </w:rPr>
        <w:t xml:space="preserve">(3)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强化项目管理责任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  <w:lang w:eastAsia="zh-CN"/>
        </w:rPr>
        <w:t xml:space="preserve">(4)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为决策提供支持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为项目主管部门、财政部门及相关决策层提供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eastAsia="zh-CN"/>
        </w:rPr>
        <w:t xml:space="preserve">翔实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(</w:t>
      </w:r>
      <w:r>
        <w:rPr>
          <w:rFonts w:ascii="方正仿宋简体" w:eastAsia="方正仿宋简体" w:hAnsi="方正仿宋简体" w:cs="方正仿宋简体" w:hint="eastAsia"/>
          <w:sz w:val="32"/>
          <w:szCs w:val="32"/>
          <w:lang w:val="en-US" w:eastAsia="zh-CN"/>
        </w:rPr>
        <w:t xml:space="preserve">5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)促进项目持续改进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3.绩效评价的对象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本项目预算绩效评价报告的评价对象是</w:t>
      </w:r>
      <w:r>
        <w:rPr>
          <w:rFonts w:hint="eastAsia"/>
          <w:sz w:val="32"/>
          <w:szCs w:val="32"/>
          <w:lang w:val="en-US" w:eastAsia="zh-CN"/>
        </w:rPr>
        <w:t xml:space="preserve">都拉塔口岸基础设施升级改造项目（2024年供排水）</w:t>
      </w:r>
      <w:r>
        <w:rPr>
          <w:rFonts w:hint="eastAsia"/>
          <w:sz w:val="32"/>
          <w:szCs w:val="32"/>
        </w:rPr>
        <w:t xml:space="preserve">及其预算执行情况。该项目由</w:t>
      </w:r>
      <w:r>
        <w:rPr>
          <w:rFonts w:hint="eastAsia"/>
          <w:sz w:val="32"/>
          <w:szCs w:val="32"/>
          <w:highlight w:val="none"/>
          <w:lang w:val="en-US" w:eastAsia="zh-CN"/>
        </w:rPr>
        <w:t xml:space="preserve">伊犁州都拉塔口岸管理委员会</w:t>
      </w:r>
      <w:r>
        <w:rPr>
          <w:rFonts w:hint="eastAsia"/>
          <w:sz w:val="32"/>
          <w:szCs w:val="32"/>
        </w:rPr>
        <w:t xml:space="preserve">负责实施，旨在</w:t>
      </w:r>
      <w:r>
        <w:rPr>
          <w:rFonts w:hint="eastAsia"/>
          <w:sz w:val="32"/>
          <w:szCs w:val="32"/>
          <w:lang w:val="en-US" w:eastAsia="zh-CN"/>
        </w:rPr>
        <w:t xml:space="preserve">通过改造排污管网5032米、给水管网3668米、钢筋混凝土检查井169座、管网地貌恢复28994.5平方米，完善都拉塔口岸市政基础设施功能，改善都拉塔口岸居民生活质量，提升公共服务水平</w:t>
      </w:r>
      <w:r>
        <w:rPr>
          <w:rFonts w:hint="eastAsia"/>
          <w:sz w:val="32"/>
          <w:szCs w:val="32"/>
        </w:rPr>
        <w:t xml:space="preserve">。项目预算涵盖从</w:t>
      </w:r>
      <w:r>
        <w:rPr>
          <w:rFonts w:hint="eastAsia"/>
          <w:sz w:val="32"/>
          <w:szCs w:val="32"/>
          <w:lang w:val="en-US" w:eastAsia="zh-CN"/>
        </w:rPr>
        <w:t xml:space="preserve">2024年8月30日</w:t>
      </w:r>
      <w:r>
        <w:rPr>
          <w:rFonts w:hint="eastAsia"/>
          <w:sz w:val="32"/>
          <w:szCs w:val="32"/>
        </w:rPr>
        <w:t xml:space="preserve">至</w:t>
      </w:r>
      <w:r>
        <w:rPr>
          <w:rFonts w:hint="eastAsia"/>
          <w:sz w:val="32"/>
          <w:szCs w:val="32"/>
          <w:lang w:val="en-US" w:eastAsia="zh-CN"/>
        </w:rPr>
        <w:t xml:space="preserve">2024年12月31日</w:t>
      </w:r>
      <w:r>
        <w:rPr>
          <w:rFonts w:hint="eastAsia"/>
          <w:sz w:val="32"/>
          <w:szCs w:val="32"/>
        </w:rPr>
        <w:t xml:space="preserve">的全部资金投入与支出，涉及资金总额为</w:t>
      </w:r>
      <w:r>
        <w:rPr>
          <w:rFonts w:hint="eastAsia"/>
          <w:sz w:val="32"/>
          <w:szCs w:val="32"/>
          <w:lang w:val="en-US" w:eastAsia="zh-CN"/>
        </w:rPr>
        <w:t xml:space="preserve">1468.00</w:t>
      </w:r>
      <w:r>
        <w:rPr>
          <w:rFonts w:hint="eastAsia"/>
          <w:sz w:val="32"/>
          <w:szCs w:val="32"/>
        </w:rPr>
        <w:t xml:space="preserve">万元。</w:t>
      </w:r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4.绩效评价的范围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(1)</w:t>
      </w:r>
      <w:r>
        <w:rPr>
          <w:rFonts w:hint="eastAsia"/>
          <w:sz w:val="32"/>
          <w:szCs w:val="32"/>
        </w:rPr>
        <w:t xml:space="preserve">项目预算编制与执行：全面审视项目预算的编制依据、合理性、科学性以及实际执行情况，包括预算调整的原因和效果。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(2)</w:t>
      </w:r>
      <w:r>
        <w:rPr>
          <w:rFonts w:hint="eastAsia"/>
          <w:sz w:val="32"/>
          <w:szCs w:val="32"/>
        </w:rPr>
        <w:t xml:space="preserve">资金管理：深入分析项目资金的分配、使用和监管情况，确保资金使用的合规性、高效性和透明度。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(3)</w:t>
      </w:r>
      <w:r>
        <w:rPr>
          <w:rFonts w:hint="eastAsia"/>
          <w:sz w:val="32"/>
          <w:szCs w:val="32"/>
        </w:rPr>
        <w:t xml:space="preserve">项目实施进度与产出：评估项目是否按照既定计划顺利推进，各项任务是否按时完成，以及项目产出的数量、质量和时效性是否符合预期。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(4)</w:t>
      </w:r>
      <w:r>
        <w:rPr>
          <w:rFonts w:hint="eastAsia"/>
          <w:sz w:val="32"/>
          <w:szCs w:val="32"/>
        </w:rPr>
        <w:t xml:space="preserve">社会</w:t>
      </w:r>
      <w:r>
        <w:rPr>
          <w:rFonts w:hint="eastAsia"/>
          <w:sz w:val="32"/>
          <w:szCs w:val="32"/>
          <w:lang w:eastAsia="zh-CN"/>
        </w:rPr>
        <w:t xml:space="preserve">效益</w:t>
      </w:r>
      <w:r>
        <w:rPr>
          <w:rFonts w:hint="eastAsia"/>
          <w:sz w:val="32"/>
          <w:szCs w:val="32"/>
        </w:rPr>
        <w:t xml:space="preserve">等影响：考察项目</w:t>
      </w:r>
      <w:r>
        <w:rPr>
          <w:rFonts w:hint="eastAsia"/>
          <w:sz w:val="32"/>
          <w:szCs w:val="32"/>
          <w:highlight w:val="none"/>
        </w:rPr>
        <w:t xml:space="preserve">对社会</w:t>
      </w:r>
      <w:r>
        <w:rPr>
          <w:rFonts w:hint="eastAsia"/>
          <w:sz w:val="32"/>
          <w:szCs w:val="32"/>
          <w:highlight w:val="none"/>
          <w:lang w:eastAsia="zh-CN"/>
        </w:rPr>
        <w:t xml:space="preserve">效益</w:t>
      </w:r>
      <w:r>
        <w:rPr>
          <w:rFonts w:hint="eastAsia"/>
          <w:sz w:val="32"/>
          <w:szCs w:val="32"/>
        </w:rPr>
        <w:t xml:space="preserve">等方面的综合影响。</w:t>
      </w:r>
    </w:p>
    <w:p>
      <w:pPr>
        <w:spacing w:line="600" w:lineRule="exact"/>
        <w:ind w:firstLine="640" w:firstLineChars="200"/>
        <w:outlineLvl w:val="1"/>
        <w:rPr>
          <w:rFonts w:eastAsia="仿宋" w:hint="eastAsia"/>
          <w:b/>
          <w:bCs/>
          <w:sz w:val="32"/>
          <w:szCs w:val="32"/>
        </w:rPr>
      </w:pPr>
      <w:bookmarkStart w:id="6" w:name="_Toc25094"/>
      <w:r>
        <w:rPr>
          <w:rFonts w:eastAsia="仿宋" w:hint="eastAsia"/>
          <w:b/>
          <w:bCs/>
          <w:sz w:val="32"/>
          <w:szCs w:val="32"/>
        </w:rPr>
        <w:t xml:space="preserve">（二）绩效评价原则、评价指标体系、评价方法、评价标准等</w:t>
      </w:r>
      <w:bookmarkEnd w:id="6"/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1.绩效评价原则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本次项目绩效评价遵循以下基本原则：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(1)</w:t>
      </w:r>
      <w:r>
        <w:rPr>
          <w:rFonts w:hint="eastAsia"/>
          <w:sz w:val="32"/>
          <w:szCs w:val="32"/>
        </w:rPr>
        <w:t xml:space="preserve">科学公正。本次项目支出绩效评价运用科学合理的方法，按照规范的程序，对项目绩效进行客观、公正的反映。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(2)</w:t>
      </w:r>
      <w:r>
        <w:rPr>
          <w:rFonts w:hint="eastAsia"/>
          <w:sz w:val="32"/>
          <w:szCs w:val="32"/>
        </w:rPr>
        <w:t xml:space="preserve">统筹兼顾。本次项目支出绩效评价由本单位自主实施，即“谁支出、谁自评”。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(3)</w:t>
      </w:r>
      <w:r>
        <w:rPr>
          <w:rFonts w:hint="eastAsia"/>
          <w:sz w:val="32"/>
          <w:szCs w:val="32"/>
        </w:rPr>
        <w:t xml:space="preserve">激励约束。本次项目支出绩效评价结果与预算安排、政策调整、改进管</w:t>
      </w:r>
      <w:r>
        <w:rPr>
          <w:rFonts w:hint="eastAsia"/>
          <w:sz w:val="32"/>
          <w:szCs w:val="32"/>
          <w:lang w:eastAsia="zh-CN"/>
        </w:rPr>
        <w:t xml:space="preserve">理等</w:t>
      </w:r>
      <w:r>
        <w:rPr>
          <w:rFonts w:hint="eastAsia"/>
          <w:sz w:val="32"/>
          <w:szCs w:val="32"/>
        </w:rPr>
        <w:t xml:space="preserve">实质性挂钩，体现奖优罚劣和激励相容导向，有效要安排、低效要压减、无效要问责。</w:t>
      </w:r>
    </w:p>
    <w:p>
      <w:pPr>
        <w:spacing w:line="600" w:lineRule="exact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(4)</w:t>
      </w:r>
      <w:r>
        <w:rPr>
          <w:rFonts w:hint="eastAsia"/>
          <w:sz w:val="32"/>
          <w:szCs w:val="32"/>
        </w:rPr>
        <w:t xml:space="preserve">公开透明。</w:t>
      </w:r>
      <w:r>
        <w:rPr>
          <w:rFonts w:hint="eastAsia"/>
          <w:sz w:val="32"/>
          <w:szCs w:val="32"/>
          <w:lang w:val="en-US" w:eastAsia="zh-CN"/>
        </w:rPr>
        <w:t xml:space="preserve">根据相关保密要求，报告内容不予公开</w:t>
      </w:r>
      <w:r>
        <w:rPr>
          <w:rFonts w:hint="eastAsia"/>
          <w:sz w:val="32"/>
          <w:szCs w:val="32"/>
          <w:lang w:eastAsia="zh-CN"/>
        </w:rPr>
        <w:t xml:space="preserve">。</w:t>
      </w:r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2.评价指标体系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(1)</w:t>
      </w:r>
      <w:r>
        <w:rPr>
          <w:rFonts w:hint="eastAsia"/>
          <w:sz w:val="32"/>
          <w:szCs w:val="32"/>
        </w:rPr>
        <w:t xml:space="preserve">确定评价指标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(2)</w:t>
      </w:r>
      <w:r>
        <w:rPr>
          <w:rFonts w:hint="eastAsia"/>
          <w:sz w:val="32"/>
          <w:szCs w:val="32"/>
        </w:rPr>
        <w:t xml:space="preserve">确定权重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(3)</w:t>
      </w:r>
      <w:r>
        <w:rPr>
          <w:rFonts w:hint="eastAsia"/>
          <w:sz w:val="32"/>
          <w:szCs w:val="32"/>
        </w:rPr>
        <w:t xml:space="preserve">确定指标标准值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3.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绩效</w:t>
      </w:r>
      <w:r>
        <w:rPr>
          <w:rFonts w:hint="eastAsia"/>
          <w:b/>
          <w:bCs/>
          <w:sz w:val="32"/>
          <w:szCs w:val="32"/>
        </w:rPr>
        <w:t xml:space="preserve">评价方法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</w:p>
    <w:p>
      <w:pPr>
        <w:spacing w:line="600" w:lineRule="exact"/>
        <w:ind w:firstLine="640" w:firstLineChars="200"/>
        <w:rPr>
          <w:rFonts w:eastAsia="仿宋_GB2312" w:hint="default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/>
          <w:color w:val="auto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及使用原因</w:t>
      </w:r>
      <w:r>
        <w:rPr>
          <w:rFonts w:hint="eastAsia"/>
          <w:color w:val="auto"/>
          <w:sz w:val="32"/>
          <w:szCs w:val="32"/>
        </w:rPr>
        <w:t xml:space="preserve">如下：</w:t>
      </w:r>
      <w:r>
        <w:rPr>
          <w:rFonts w:hint="eastAsia"/>
          <w:color w:val="auto"/>
          <w:sz w:val="32"/>
          <w:szCs w:val="32"/>
          <w:highlight w:val="none"/>
          <w:lang w:eastAsia="zh-CN"/>
        </w:rPr>
        <w:t xml:space="preserve">本项目采用成本效益分析法</w:t>
      </w: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 xml:space="preserve">，主要原因是通过对1468.00万元专项资金使用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highlight w:val="none"/>
          <w:lang w:val="en-US" w:eastAsia="zh-CN"/>
        </w:rPr>
        <w:t xml:space="preserve">情况、实际工程量完成情况进行分</w:t>
      </w: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 xml:space="preserve">析，通过改造排污管网5032米、给水管网3668米、钢筋混凝土检查井169座、管网地貌恢复28994.5平方米，完善都拉塔口岸市政基础设施功能，改善都拉塔口岸居民生活质量，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highlight w:val="none"/>
          <w:lang w:val="en-US" w:eastAsia="zh-CN"/>
        </w:rPr>
        <w:t xml:space="preserve">提升工程项目管理能力。</w:t>
      </w:r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4.评价标准</w:t>
      </w:r>
    </w:p>
    <w:p>
      <w:pPr>
        <w:spacing w:line="600" w:lineRule="exact"/>
        <w:ind w:firstLine="640" w:firstLineChars="200"/>
        <w:rPr>
          <w:rFonts w:eastAsia="仿宋_GB2312"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2"/>
        </w:rPr>
        <w:t xml:space="preserve">绩效评价标准通常包括计划标准、行业标准、历史标准等，用于对绩效指标完成情况进行比较、分析、评价。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本次评价主要采用了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val="en-US" w:eastAsia="zh-CN"/>
        </w:rPr>
        <w:t xml:space="preserve">计划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标准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eastAsia="zh-CN"/>
        </w:rPr>
        <w:t xml:space="preserve">，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原因是：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highlight w:val="none"/>
          <w:lang w:val="en-US" w:eastAsia="zh-CN"/>
        </w:rPr>
        <w:t xml:space="preserve">通过对年初制定的绩效目标中18条产出指标、2条成本指标、2条效益指标、1条满意度指标计划和全年实际完成情况进行对比，评价单位指标完成情况。</w:t>
      </w:r>
    </w:p>
    <w:p>
      <w:pPr>
        <w:spacing w:line="600" w:lineRule="exact"/>
        <w:ind w:firstLine="640" w:firstLineChars="200"/>
        <w:outlineLvl w:val="1"/>
        <w:rPr>
          <w:rFonts w:ascii="仿宋" w:eastAsia="仿宋" w:hint="eastAsia"/>
          <w:b/>
          <w:bCs/>
          <w:sz w:val="32"/>
          <w:szCs w:val="32"/>
        </w:rPr>
      </w:pPr>
      <w:bookmarkStart w:id="7" w:name="_Toc16302"/>
      <w:r>
        <w:rPr>
          <w:rFonts w:ascii="仿宋" w:eastAsia="仿宋" w:hint="eastAsia"/>
          <w:b/>
          <w:bCs/>
          <w:sz w:val="32"/>
          <w:szCs w:val="32"/>
        </w:rPr>
        <w:t xml:space="preserve">（三）绩效评价工作过程</w:t>
      </w:r>
      <w:bookmarkEnd w:id="7"/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1.</w:t>
      </w:r>
      <w:r>
        <w:rPr>
          <w:rFonts w:hint="eastAsia"/>
          <w:b/>
          <w:bCs/>
          <w:sz w:val="32"/>
          <w:szCs w:val="32"/>
        </w:rPr>
        <w:t xml:space="preserve">前期准备与规划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2.</w:t>
      </w:r>
      <w:r>
        <w:rPr>
          <w:rFonts w:hint="eastAsia"/>
          <w:b/>
          <w:bCs/>
          <w:sz w:val="32"/>
          <w:szCs w:val="32"/>
        </w:rPr>
        <w:t xml:space="preserve">指标体系构建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3.</w:t>
      </w:r>
      <w:r>
        <w:rPr>
          <w:rFonts w:hint="eastAsia"/>
          <w:b/>
          <w:bCs/>
          <w:sz w:val="32"/>
          <w:szCs w:val="32"/>
        </w:rPr>
        <w:t xml:space="preserve">数据收集与整理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</w:t>
      </w:r>
      <w:r>
        <w:rPr>
          <w:rFonts w:hint="eastAsia"/>
          <w:sz w:val="32"/>
          <w:szCs w:val="32"/>
          <w:lang w:eastAsia="zh-CN"/>
        </w:rPr>
        <w:t xml:space="preserve">进行</w:t>
      </w:r>
      <w:r>
        <w:rPr>
          <w:rFonts w:hint="eastAsia"/>
          <w:sz w:val="32"/>
          <w:szCs w:val="32"/>
        </w:rPr>
        <w:t xml:space="preserve">合理</w:t>
      </w:r>
      <w:r>
        <w:rPr>
          <w:rFonts w:hint="eastAsia"/>
          <w:sz w:val="32"/>
          <w:szCs w:val="32"/>
          <w:lang w:eastAsia="zh-CN"/>
        </w:rPr>
        <w:t xml:space="preserve">的</w:t>
      </w:r>
      <w:r>
        <w:rPr>
          <w:rFonts w:hint="eastAsia"/>
          <w:sz w:val="32"/>
          <w:szCs w:val="32"/>
        </w:rPr>
        <w:t xml:space="preserve">处理和补充。随后，对收集到的数据进行了系统的整理与分类，为后续的数据分析提供了有力支持。</w:t>
      </w:r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4.</w:t>
      </w:r>
      <w:r>
        <w:rPr>
          <w:rFonts w:hint="eastAsia"/>
          <w:b/>
          <w:bCs/>
          <w:sz w:val="32"/>
          <w:szCs w:val="32"/>
        </w:rPr>
        <w:t xml:space="preserve">数据分析与评估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5.</w:t>
      </w:r>
      <w:r>
        <w:rPr>
          <w:rFonts w:hint="eastAsia"/>
          <w:b/>
          <w:bCs/>
          <w:sz w:val="32"/>
          <w:szCs w:val="32"/>
        </w:rPr>
        <w:t xml:space="preserve">报告撰写与反馈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6.</w:t>
      </w:r>
      <w:r>
        <w:rPr>
          <w:rFonts w:hint="eastAsia"/>
          <w:b/>
          <w:bCs/>
          <w:sz w:val="32"/>
          <w:szCs w:val="32"/>
        </w:rPr>
        <w:t xml:space="preserve">后续跟踪与改进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在评价报告提交后，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</w:t>
      </w:r>
      <w:r>
        <w:rPr>
          <w:rFonts w:hint="eastAsia"/>
          <w:sz w:val="32"/>
          <w:szCs w:val="32"/>
          <w:lang w:eastAsia="zh-CN"/>
        </w:rPr>
        <w:t xml:space="preserve">。</w:t>
      </w:r>
    </w:p>
    <w:p>
      <w:pPr>
        <w:spacing w:line="600" w:lineRule="exact"/>
        <w:ind w:firstLine="640" w:firstLineChars="200"/>
        <w:outlineLvl w:val="0"/>
        <w:rPr>
          <w:rFonts w:ascii="黑体" w:eastAsia="黑体" w:hAnsi="黑体" w:hint="eastAsia"/>
          <w:sz w:val="32"/>
          <w:szCs w:val="32"/>
          <w:lang w:eastAsia="zh-CN"/>
        </w:rPr>
      </w:pPr>
      <w:bookmarkStart w:id="8" w:name="_Toc6537"/>
      <w:r>
        <w:rPr>
          <w:rFonts w:ascii="黑体" w:eastAsia="黑体" w:hAnsi="黑体" w:hint="eastAsia"/>
          <w:sz w:val="32"/>
          <w:szCs w:val="32"/>
        </w:rPr>
        <w:t xml:space="preserve">三、综合评价情况及评价结论</w:t>
      </w:r>
      <w:r>
        <w:rPr>
          <w:rFonts w:ascii="黑体" w:eastAsia="黑体" w:hAnsi="黑体" w:hint="eastAsia"/>
          <w:sz w:val="32"/>
          <w:szCs w:val="32"/>
          <w:lang w:eastAsia="zh-CN"/>
        </w:rPr>
        <w:t xml:space="preserve">（</w:t>
      </w:r>
      <w:r>
        <w:rPr>
          <w:rFonts w:ascii="黑体" w:eastAsia="黑体" w:hAnsi="黑体" w:hint="eastAsia"/>
          <w:sz w:val="32"/>
          <w:szCs w:val="32"/>
          <w:lang w:val="en-US" w:eastAsia="zh-CN"/>
        </w:rPr>
        <w:t xml:space="preserve">附相关评分表</w:t>
      </w:r>
      <w:r>
        <w:rPr>
          <w:rFonts w:ascii="黑体" w:eastAsia="黑体" w:hAnsi="黑体" w:hint="eastAsia"/>
          <w:sz w:val="32"/>
          <w:szCs w:val="32"/>
          <w:lang w:eastAsia="zh-CN"/>
        </w:rPr>
        <w:t xml:space="preserve">）</w:t>
      </w:r>
      <w:bookmarkEnd w:id="8"/>
    </w:p>
    <w:p>
      <w:pPr>
        <w:spacing w:line="600" w:lineRule="exact"/>
        <w:ind w:firstLine="640" w:firstLineChars="200"/>
        <w:outlineLvl w:val="1"/>
        <w:rPr>
          <w:rFonts w:ascii="仿宋" w:eastAsia="仿宋" w:hint="eastAsia"/>
          <w:b/>
          <w:bCs/>
          <w:sz w:val="32"/>
          <w:szCs w:val="32"/>
        </w:rPr>
      </w:pPr>
      <w:bookmarkStart w:id="9" w:name="_Toc12913"/>
      <w:r>
        <w:rPr>
          <w:rFonts w:ascii="仿宋" w:eastAsia="仿宋" w:hint="eastAsia"/>
          <w:b/>
          <w:bCs/>
          <w:sz w:val="32"/>
          <w:szCs w:val="32"/>
        </w:rPr>
        <w:t xml:space="preserve">（一）综合评价情况</w:t>
      </w:r>
      <w:bookmarkEnd w:id="9"/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本项目的综合评价基于对项目各方面绩效的深入分析与评估。从项目目标的达成情况来看，</w:t>
      </w:r>
      <w:r>
        <w:rPr>
          <w:rFonts w:hint="eastAsia"/>
          <w:sz w:val="32"/>
          <w:szCs w:val="32"/>
          <w:lang w:val="en-US" w:eastAsia="zh-CN"/>
        </w:rPr>
        <w:t xml:space="preserve">都拉塔口岸基础设施升级改造项目（2024年供排水）</w:t>
      </w:r>
      <w:r>
        <w:rPr>
          <w:rFonts w:hint="eastAsia"/>
          <w:sz w:val="32"/>
          <w:szCs w:val="32"/>
        </w:rPr>
        <w:t xml:space="preserve">在</w:t>
      </w:r>
      <w:r>
        <w:rPr>
          <w:rFonts w:hint="eastAsia"/>
          <w:sz w:val="32"/>
          <w:szCs w:val="32"/>
          <w:lang w:val="en-US" w:eastAsia="zh-CN"/>
        </w:rPr>
        <w:t xml:space="preserve">改造排污管网</w:t>
      </w:r>
      <w:r>
        <w:rPr>
          <w:rFonts w:hint="eastAsia"/>
          <w:sz w:val="32"/>
          <w:szCs w:val="32"/>
        </w:rPr>
        <w:t xml:space="preserve">、</w:t>
      </w:r>
      <w:r>
        <w:rPr>
          <w:rFonts w:hint="eastAsia"/>
          <w:sz w:val="32"/>
          <w:szCs w:val="32"/>
          <w:lang w:val="en-US" w:eastAsia="zh-CN"/>
        </w:rPr>
        <w:t xml:space="preserve">改造</w:t>
      </w:r>
      <w:r>
        <w:rPr>
          <w:rFonts w:hint="eastAsia"/>
          <w:sz w:val="32"/>
          <w:szCs w:val="32"/>
        </w:rPr>
        <w:t xml:space="preserve">给水管网</w:t>
      </w:r>
      <w:r>
        <w:rPr>
          <w:rFonts w:hint="eastAsia"/>
          <w:sz w:val="32"/>
          <w:szCs w:val="32"/>
          <w:lang w:val="en-US" w:eastAsia="zh-CN"/>
        </w:rPr>
        <w:t xml:space="preserve">、新建钢筋混凝土检查井</w:t>
      </w:r>
      <w:r>
        <w:rPr>
          <w:rFonts w:hint="eastAsia"/>
          <w:sz w:val="32"/>
          <w:szCs w:val="32"/>
        </w:rPr>
        <w:t xml:space="preserve">等方面表现出色，达到了预期的标准与要求</w:t>
      </w:r>
      <w:r>
        <w:rPr>
          <w:rFonts w:hint="eastAsia"/>
          <w:sz w:val="32"/>
          <w:szCs w:val="32"/>
          <w:lang w:eastAsia="zh-CN"/>
        </w:rPr>
        <w:t xml:space="preserve">，</w:t>
      </w:r>
      <w:r>
        <w:rPr>
          <w:rFonts w:hint="eastAsia"/>
          <w:sz w:val="32"/>
          <w:szCs w:val="32"/>
        </w:rPr>
        <w:t xml:space="preserve">取得了显著的成效，</w:t>
      </w:r>
      <w:r>
        <w:rPr>
          <w:rFonts w:hint="eastAsia"/>
          <w:sz w:val="32"/>
          <w:szCs w:val="32"/>
          <w:lang w:val="en-US" w:eastAsia="zh-CN"/>
        </w:rPr>
        <w:t xml:space="preserve">该项目正常运转率为100.00%，都拉塔口岸居民生活质量有效改善，群众满意度为100.00%</w:t>
      </w:r>
      <w:r>
        <w:rPr>
          <w:rFonts w:hint="eastAsia"/>
          <w:sz w:val="32"/>
          <w:szCs w:val="32"/>
        </w:rPr>
        <w:t xml:space="preserve">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在项目管理方面，</w:t>
      </w:r>
      <w:r>
        <w:rPr>
          <w:rFonts w:hint="eastAsia"/>
          <w:sz w:val="32"/>
          <w:szCs w:val="32"/>
          <w:lang w:val="en-US" w:eastAsia="zh-CN"/>
        </w:rPr>
        <w:t xml:space="preserve">伊犁州都拉塔口岸管委会</w:t>
      </w:r>
      <w:r>
        <w:rPr>
          <w:rFonts w:hint="eastAsia"/>
          <w:sz w:val="32"/>
          <w:szCs w:val="32"/>
        </w:rPr>
        <w:t xml:space="preserve">通过有效</w:t>
      </w:r>
      <w:r>
        <w:rPr>
          <w:rFonts w:hint="eastAsia"/>
          <w:sz w:val="32"/>
          <w:szCs w:val="32"/>
          <w:lang w:eastAsia="zh-CN"/>
        </w:rPr>
        <w:t xml:space="preserve">地</w:t>
      </w:r>
      <w:r>
        <w:rPr>
          <w:rFonts w:hint="eastAsia"/>
          <w:sz w:val="32"/>
          <w:szCs w:val="32"/>
        </w:rPr>
        <w:t xml:space="preserve">规划、组织与协调，项目得以顺利实施，并在预算与时间上保持了良好的控制。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从项目效益的角度来看，本项目不仅实现了预期的社会效益等方面产生了积极的影响。具体而言，</w:t>
      </w:r>
      <w:r>
        <w:rPr>
          <w:rFonts w:hint="eastAsia"/>
          <w:sz w:val="32"/>
          <w:szCs w:val="32"/>
          <w:lang w:val="en-US" w:eastAsia="zh-CN"/>
        </w:rPr>
        <w:t xml:space="preserve">保障园区供水、提高生产效率</w:t>
      </w:r>
      <w:r>
        <w:rPr>
          <w:rFonts w:hint="eastAsia"/>
          <w:sz w:val="32"/>
          <w:szCs w:val="32"/>
        </w:rPr>
        <w:t xml:space="preserve">、</w:t>
      </w:r>
      <w:r>
        <w:rPr>
          <w:rFonts w:hint="eastAsia"/>
          <w:sz w:val="32"/>
          <w:szCs w:val="32"/>
          <w:lang w:val="en-US" w:eastAsia="zh-CN"/>
        </w:rPr>
        <w:t xml:space="preserve">健全</w:t>
      </w:r>
      <w:r>
        <w:rPr>
          <w:rFonts w:hint="eastAsia"/>
          <w:sz w:val="32"/>
          <w:szCs w:val="32"/>
        </w:rPr>
        <w:t xml:space="preserve">污水处理改善水环境</w:t>
      </w:r>
      <w:r>
        <w:rPr>
          <w:rFonts w:hint="eastAsia"/>
          <w:sz w:val="32"/>
          <w:szCs w:val="32"/>
          <w:lang w:eastAsia="zh-CN"/>
        </w:rPr>
        <w:t xml:space="preserve">、</w:t>
      </w:r>
      <w:r>
        <w:rPr>
          <w:rFonts w:hint="eastAsia"/>
          <w:sz w:val="32"/>
          <w:szCs w:val="32"/>
        </w:rPr>
        <w:t xml:space="preserve">确保</w:t>
      </w:r>
      <w:r>
        <w:rPr>
          <w:rFonts w:hint="eastAsia"/>
          <w:sz w:val="32"/>
          <w:szCs w:val="32"/>
          <w:lang w:val="en-US" w:eastAsia="zh-CN"/>
        </w:rPr>
        <w:t xml:space="preserve">口岸</w:t>
      </w:r>
      <w:r>
        <w:rPr>
          <w:rFonts w:hint="eastAsia"/>
          <w:sz w:val="32"/>
          <w:szCs w:val="32"/>
        </w:rPr>
        <w:t xml:space="preserve">居民用水安全等方面的</w:t>
      </w:r>
      <w:r>
        <w:rPr>
          <w:rFonts w:hint="eastAsia"/>
          <w:sz w:val="32"/>
          <w:szCs w:val="32"/>
          <w:lang w:val="en-US" w:eastAsia="zh-CN"/>
        </w:rPr>
        <w:t xml:space="preserve">有较大</w:t>
      </w:r>
      <w:r>
        <w:rPr>
          <w:rFonts w:hint="eastAsia"/>
          <w:sz w:val="32"/>
          <w:szCs w:val="32"/>
        </w:rPr>
        <w:t xml:space="preserve">提升，为项目的利益相关者带来了实实在在的利益。</w:t>
      </w:r>
    </w:p>
    <w:p>
      <w:pPr>
        <w:spacing w:line="600" w:lineRule="exact"/>
        <w:ind w:firstLine="640" w:firstLineChars="200"/>
        <w:rPr>
          <w:rFonts w:eastAsia="仿宋_GB2312"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 xml:space="preserve">综上所述，</w:t>
      </w:r>
      <w:r>
        <w:rPr>
          <w:rFonts w:hint="eastAsia"/>
          <w:sz w:val="32"/>
          <w:szCs w:val="32"/>
          <w:lang w:val="en-US" w:eastAsia="zh-CN"/>
        </w:rPr>
        <w:t xml:space="preserve">都拉塔口岸基础设施升级改造项目（2024年供排水）</w:t>
      </w:r>
      <w:r>
        <w:rPr>
          <w:rFonts w:hint="eastAsia"/>
          <w:sz w:val="32"/>
          <w:szCs w:val="32"/>
        </w:rPr>
        <w:t xml:space="preserve">在绩效评价中表现出色，达到了项目的预期目标，并在多个方面取得了显著的成效</w:t>
      </w:r>
      <w:r>
        <w:rPr>
          <w:rFonts w:hint="eastAsia"/>
          <w:sz w:val="32"/>
          <w:szCs w:val="32"/>
          <w:lang w:eastAsia="zh-CN"/>
        </w:rPr>
        <w:t xml:space="preserve">。</w:t>
      </w:r>
    </w:p>
    <w:p>
      <w:pPr>
        <w:spacing w:line="600" w:lineRule="exact"/>
        <w:ind w:firstLine="640" w:firstLineChars="200"/>
        <w:outlineLvl w:val="1"/>
        <w:rPr>
          <w:rFonts w:ascii="仿宋" w:eastAsia="仿宋" w:hint="eastAsia"/>
          <w:b/>
          <w:bCs/>
          <w:sz w:val="32"/>
          <w:szCs w:val="32"/>
        </w:rPr>
      </w:pPr>
      <w:bookmarkStart w:id="10" w:name="_Toc14211"/>
      <w:r>
        <w:rPr>
          <w:rFonts w:ascii="仿宋" w:eastAsia="仿宋" w:hint="eastAsia"/>
          <w:b/>
          <w:bCs/>
          <w:sz w:val="32"/>
          <w:szCs w:val="32"/>
        </w:rPr>
        <w:t xml:space="preserve">（二）评价结论</w:t>
      </w:r>
      <w:bookmarkEnd w:id="10"/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</w:t>
      </w:r>
      <w:r>
        <w:rPr>
          <w:rFonts w:hint="eastAsia"/>
          <w:sz w:val="32"/>
          <w:szCs w:val="32"/>
          <w:highlight w:val="none"/>
        </w:rPr>
        <w:t xml:space="preserve">得分为</w:t>
      </w:r>
      <w:r>
        <w:rPr>
          <w:rFonts w:hint="eastAsia"/>
          <w:sz w:val="32"/>
          <w:szCs w:val="32"/>
          <w:highlight w:val="none"/>
          <w:lang w:val="en-US" w:eastAsia="zh-CN"/>
        </w:rPr>
        <w:t xml:space="preserve">94.42</w:t>
      </w:r>
      <w:r>
        <w:rPr>
          <w:rFonts w:hint="eastAsia"/>
          <w:sz w:val="32"/>
          <w:szCs w:val="32"/>
          <w:highlight w:val="none"/>
        </w:rPr>
        <w:t xml:space="preserve">分，属于“</w:t>
      </w:r>
      <w:r>
        <w:rPr>
          <w:rFonts w:hint="eastAsia"/>
          <w:sz w:val="32"/>
          <w:szCs w:val="32"/>
          <w:highlight w:val="none"/>
          <w:lang w:eastAsia="zh-CN"/>
        </w:rPr>
        <w:t xml:space="preserve">优</w:t>
      </w:r>
      <w:r>
        <w:rPr>
          <w:rFonts w:hint="eastAsia"/>
          <w:sz w:val="32"/>
          <w:szCs w:val="32"/>
          <w:highlight w:val="none"/>
        </w:rPr>
        <w:t xml:space="preserve">”</w:t>
      </w:r>
      <w:r>
        <w:rPr>
          <w:rFonts w:hint="eastAsia"/>
          <w:sz w:val="32"/>
          <w:szCs w:val="32"/>
        </w:rPr>
        <w:t xml:space="preserve">。其中，项目决策类指标权重为20分，得分为 </w:t>
      </w:r>
      <w:r>
        <w:rPr>
          <w:rFonts w:hint="eastAsia"/>
          <w:sz w:val="32"/>
          <w:szCs w:val="32"/>
          <w:lang w:val="en-US" w:eastAsia="zh-CN"/>
        </w:rPr>
        <w:t xml:space="preserve">20</w:t>
      </w:r>
      <w:r>
        <w:rPr>
          <w:rFonts w:hint="eastAsia"/>
          <w:sz w:val="32"/>
          <w:szCs w:val="32"/>
        </w:rPr>
        <w:t xml:space="preserve">分，得分率</w:t>
      </w:r>
      <w:r>
        <w:rPr>
          <w:rFonts w:hint="eastAsia"/>
          <w:sz w:val="32"/>
          <w:szCs w:val="32"/>
          <w:lang w:eastAsia="zh-CN"/>
        </w:rPr>
        <w:t xml:space="preserve">为</w:t>
      </w:r>
      <w:r>
        <w:rPr>
          <w:rFonts w:hint="eastAsia"/>
          <w:sz w:val="32"/>
          <w:szCs w:val="32"/>
          <w:lang w:val="en-US" w:eastAsia="zh-CN"/>
        </w:rPr>
        <w:t xml:space="preserve">100.00</w:t>
      </w:r>
      <w:r>
        <w:rPr>
          <w:rFonts w:hint="eastAsia"/>
          <w:sz w:val="32"/>
          <w:szCs w:val="32"/>
        </w:rPr>
        <w:t xml:space="preserve">%。项目过程类指标权重为20分，得分为</w:t>
      </w:r>
      <w:r>
        <w:rPr>
          <w:rFonts w:hint="eastAsia"/>
          <w:sz w:val="32"/>
          <w:szCs w:val="32"/>
          <w:lang w:val="en-US" w:eastAsia="zh-CN"/>
        </w:rPr>
        <w:t xml:space="preserve">19.02</w:t>
      </w:r>
      <w:r>
        <w:rPr>
          <w:rFonts w:hint="eastAsia"/>
          <w:sz w:val="32"/>
          <w:szCs w:val="32"/>
        </w:rPr>
        <w:t xml:space="preserve">分，得分率为</w:t>
      </w:r>
      <w:r>
        <w:rPr>
          <w:rFonts w:hint="eastAsia"/>
          <w:sz w:val="32"/>
          <w:szCs w:val="32"/>
          <w:lang w:val="en-US" w:eastAsia="zh-CN"/>
        </w:rPr>
        <w:t xml:space="preserve">95.10</w:t>
      </w:r>
      <w:r>
        <w:rPr>
          <w:rFonts w:hint="eastAsia"/>
          <w:sz w:val="32"/>
          <w:szCs w:val="32"/>
        </w:rPr>
        <w:t xml:space="preserve">%。项目产出类指标权重为40分，得分为</w:t>
      </w:r>
      <w:r>
        <w:rPr>
          <w:rFonts w:hint="eastAsia"/>
          <w:sz w:val="32"/>
          <w:szCs w:val="32"/>
          <w:lang w:val="en-US" w:eastAsia="zh-CN"/>
        </w:rPr>
        <w:t xml:space="preserve">35.40</w:t>
      </w:r>
      <w:r>
        <w:rPr>
          <w:rFonts w:hint="eastAsia"/>
          <w:sz w:val="32"/>
          <w:szCs w:val="32"/>
        </w:rPr>
        <w:t xml:space="preserve">分，得分率为</w:t>
      </w:r>
      <w:r>
        <w:rPr>
          <w:rFonts w:hint="eastAsia"/>
          <w:sz w:val="32"/>
          <w:szCs w:val="32"/>
          <w:lang w:val="en-US" w:eastAsia="zh-CN"/>
        </w:rPr>
        <w:t xml:space="preserve">88.50</w:t>
      </w:r>
      <w:r>
        <w:rPr>
          <w:rFonts w:hint="eastAsia"/>
          <w:sz w:val="32"/>
          <w:szCs w:val="32"/>
        </w:rPr>
        <w:t xml:space="preserve">%。项目效益类指标权重为20分，得分为</w:t>
      </w:r>
      <w:r>
        <w:rPr>
          <w:rFonts w:hint="eastAsia"/>
          <w:sz w:val="32"/>
          <w:szCs w:val="32"/>
          <w:lang w:val="en-US" w:eastAsia="zh-CN"/>
        </w:rPr>
        <w:t xml:space="preserve">20</w:t>
      </w:r>
      <w:r>
        <w:rPr>
          <w:rFonts w:hint="eastAsia"/>
          <w:sz w:val="32"/>
          <w:szCs w:val="32"/>
        </w:rPr>
        <w:t xml:space="preserve">分，得分率为</w:t>
      </w:r>
      <w:r>
        <w:rPr>
          <w:rFonts w:hint="eastAsia"/>
          <w:sz w:val="32"/>
          <w:szCs w:val="32"/>
          <w:lang w:val="en-US" w:eastAsia="zh-CN"/>
        </w:rPr>
        <w:t xml:space="preserve">100.00</w:t>
      </w:r>
      <w:r>
        <w:rPr>
          <w:rFonts w:hint="eastAsia"/>
          <w:sz w:val="32"/>
          <w:szCs w:val="32"/>
        </w:rPr>
        <w:t xml:space="preserve">%。具体打分情况详见：附件1综合评分表。</w:t>
      </w:r>
    </w:p>
    <w:p>
      <w:pPr>
        <w:spacing w:line="600" w:lineRule="exact"/>
        <w:ind w:firstLine="640" w:firstLineChars="20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表1综合评分表</w:t>
      </w:r>
    </w:p>
    <w:tbl>
      <w:tblPr>
        <w:tblStyle w:val="NormalTable"/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3747"/>
        <w:gridCol w:w="2589"/>
        <w:gridCol w:w="2720"/>
      </w:tblGrid>
      <w:tr>
        <w:tblPrEx>
          <w:tblW w:w="499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/>
          <w:tblHeader/>
          <w:jc w:val="center"/>
        </w:trPr>
        <w:tc>
          <w:tcPr>
            <w:tcW w:w="2068" w:type="pct"/>
            <w:shd w:val="clear" w:color="000000" w:fill="BEBEBE"/>
            <w:vAlign w:val="center"/>
          </w:tcPr>
          <w:p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 xml:space="preserve">一级指标</w:t>
            </w:r>
          </w:p>
        </w:tc>
        <w:tc>
          <w:tcPr>
            <w:tcW w:w="1429" w:type="pct"/>
            <w:shd w:val="clear" w:color="000000" w:fill="BEBEBE"/>
            <w:vAlign w:val="center"/>
          </w:tcPr>
          <w:p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 xml:space="preserve">权重分</w:t>
            </w:r>
          </w:p>
        </w:tc>
        <w:tc>
          <w:tcPr>
            <w:tcW w:w="1501" w:type="pct"/>
            <w:shd w:val="clear" w:color="000000" w:fill="BEBEBE"/>
            <w:vAlign w:val="center"/>
          </w:tcPr>
          <w:p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 xml:space="preserve">得分</w:t>
            </w:r>
          </w:p>
        </w:tc>
      </w:tr>
      <w:tr>
        <w:tblPrEx>
          <w:tblW w:w="499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/>
          <w:jc w:val="center"/>
        </w:trPr>
        <w:tc>
          <w:tcPr>
            <w:tcW w:w="3747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项目决策</w:t>
            </w:r>
          </w:p>
        </w:tc>
        <w:tc>
          <w:tcPr>
            <w:tcW w:w="2589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20</w:t>
            </w:r>
          </w:p>
        </w:tc>
        <w:tc>
          <w:tcPr>
            <w:tcW w:w="272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20</w:t>
            </w:r>
          </w:p>
        </w:tc>
      </w:tr>
      <w:tr>
        <w:tblPrEx>
          <w:tblW w:w="499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/>
          <w:jc w:val="center"/>
        </w:trPr>
        <w:tc>
          <w:tcPr>
            <w:tcW w:w="3747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项目过程</w:t>
            </w:r>
          </w:p>
        </w:tc>
        <w:tc>
          <w:tcPr>
            <w:tcW w:w="2589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20</w:t>
            </w:r>
          </w:p>
        </w:tc>
        <w:tc>
          <w:tcPr>
            <w:tcW w:w="272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19.02</w:t>
            </w:r>
          </w:p>
        </w:tc>
      </w:tr>
      <w:tr>
        <w:tblPrEx>
          <w:tblW w:w="499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/>
          <w:jc w:val="center"/>
        </w:trPr>
        <w:tc>
          <w:tcPr>
            <w:tcW w:w="37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项目产出</w:t>
            </w:r>
          </w:p>
        </w:tc>
        <w:tc>
          <w:tcPr>
            <w:tcW w:w="25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40</w:t>
            </w:r>
          </w:p>
        </w:tc>
        <w:tc>
          <w:tcPr>
            <w:tcW w:w="2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35.40</w:t>
            </w:r>
          </w:p>
        </w:tc>
      </w:tr>
      <w:tr>
        <w:tblPrEx>
          <w:tblW w:w="499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/>
          <w:jc w:val="center"/>
        </w:trPr>
        <w:tc>
          <w:tcPr>
            <w:tcW w:w="3747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项目效益</w:t>
            </w:r>
          </w:p>
        </w:tc>
        <w:tc>
          <w:tcPr>
            <w:tcW w:w="2589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20</w:t>
            </w:r>
          </w:p>
        </w:tc>
        <w:tc>
          <w:tcPr>
            <w:tcW w:w="2720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 w:hint="default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 xml:space="preserve">20</w:t>
            </w:r>
          </w:p>
        </w:tc>
      </w:tr>
      <w:tr>
        <w:tblPrEx>
          <w:tblW w:w="499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/>
          <w:jc w:val="center"/>
        </w:trPr>
        <w:tc>
          <w:tcPr>
            <w:tcW w:w="2068" w:type="pct"/>
            <w:shd w:val="clear" w:color="auto" w:fill="auto"/>
            <w:vAlign w:val="center"/>
          </w:tcPr>
          <w:p>
            <w:pPr>
              <w:jc w:val="center"/>
              <w:rPr>
                <w:rFonts w:cs="宋体"/>
                <w:b/>
                <w:bCs/>
                <w:color w:val="000000"/>
                <w:sz w:val="22"/>
              </w:rPr>
            </w:pPr>
            <w:r>
              <w:rPr>
                <w:rFonts w:cs="宋体" w:hint="eastAsia"/>
                <w:b/>
                <w:bCs/>
                <w:color w:val="000000"/>
                <w:sz w:val="22"/>
              </w:rPr>
              <w:t xml:space="preserve">合计</w:t>
            </w:r>
          </w:p>
        </w:tc>
        <w:tc>
          <w:tcPr>
            <w:tcW w:w="1429" w:type="pct"/>
            <w:shd w:val="clear" w:color="auto" w:fill="auto"/>
            <w:vAlign w:val="center"/>
          </w:tcPr>
          <w:p>
            <w:pPr>
              <w:jc w:val="center"/>
              <w:rPr>
                <w:rFonts w:eastAsia="仿宋_GB2312" w:hint="default"/>
                <w:b/>
                <w:bCs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lang w:val="en-US" w:eastAsia="zh-CN"/>
              </w:rPr>
              <w:t xml:space="preserve">100</w:t>
            </w:r>
          </w:p>
        </w:tc>
        <w:tc>
          <w:tcPr>
            <w:tcW w:w="1501" w:type="pct"/>
            <w:shd w:val="clear" w:color="auto" w:fill="auto"/>
            <w:vAlign w:val="center"/>
          </w:tcPr>
          <w:p>
            <w:pPr>
              <w:jc w:val="center"/>
              <w:rPr>
                <w:rFonts w:eastAsia="仿宋_GB2312" w:hint="default"/>
                <w:b/>
                <w:bCs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lang w:val="en-US" w:eastAsia="zh-CN"/>
              </w:rPr>
              <w:t xml:space="preserve">94.42</w:t>
            </w:r>
          </w:p>
        </w:tc>
      </w:tr>
    </w:tbl>
    <w:p>
      <w:pPr>
        <w:spacing w:line="600" w:lineRule="exact"/>
        <w:ind w:firstLine="640" w:firstLineChars="200"/>
        <w:outlineLvl w:val="0"/>
        <w:rPr>
          <w:rFonts w:ascii="黑体" w:eastAsia="黑体" w:hAnsi="黑体" w:hint="eastAsia"/>
          <w:sz w:val="32"/>
          <w:szCs w:val="32"/>
        </w:rPr>
      </w:pPr>
      <w:bookmarkStart w:id="11" w:name="_Toc12125"/>
      <w:r>
        <w:rPr>
          <w:rFonts w:ascii="黑体" w:eastAsia="黑体" w:hAnsi="黑体" w:hint="eastAsia"/>
          <w:sz w:val="32"/>
          <w:szCs w:val="32"/>
        </w:rPr>
        <w:t xml:space="preserve">四、绩效评价指标分析</w:t>
      </w:r>
      <w:bookmarkEnd w:id="11"/>
    </w:p>
    <w:p>
      <w:pPr>
        <w:spacing w:line="600" w:lineRule="exact"/>
        <w:ind w:firstLine="640" w:firstLineChars="200"/>
        <w:outlineLvl w:val="1"/>
        <w:rPr>
          <w:rFonts w:ascii="仿宋" w:eastAsia="仿宋" w:hint="eastAsia"/>
          <w:b/>
          <w:bCs/>
          <w:sz w:val="32"/>
          <w:szCs w:val="32"/>
        </w:rPr>
      </w:pPr>
      <w:bookmarkStart w:id="12" w:name="_Toc3920"/>
      <w:r>
        <w:rPr>
          <w:rFonts w:ascii="仿宋" w:eastAsia="仿宋" w:hint="eastAsia"/>
          <w:b/>
          <w:bCs/>
          <w:sz w:val="32"/>
          <w:szCs w:val="32"/>
        </w:rPr>
        <w:t xml:space="preserve">（一）项目决策情况</w:t>
      </w:r>
      <w:bookmarkEnd w:id="12"/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项目决策类指标包括项目立项、绩效目标和资金投入三方面的内容，</w:t>
      </w:r>
      <w:r>
        <w:rPr>
          <w:rFonts w:hint="eastAsia"/>
          <w:color w:val="auto"/>
          <w:sz w:val="32"/>
          <w:szCs w:val="32"/>
        </w:rPr>
        <w:t xml:space="preserve">由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6</w:t>
      </w:r>
      <w:r>
        <w:rPr>
          <w:rFonts w:hint="eastAsia"/>
          <w:color w:val="auto"/>
          <w:sz w:val="32"/>
          <w:szCs w:val="32"/>
        </w:rPr>
        <w:t xml:space="preserve">个三级指标构成，权重分值为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2</w:t>
      </w:r>
      <w:r>
        <w:rPr>
          <w:rFonts w:hint="eastAsia"/>
          <w:color w:val="auto"/>
          <w:sz w:val="32"/>
          <w:szCs w:val="32"/>
        </w:rPr>
        <w:t xml:space="preserve">0分，实际得分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20</w:t>
      </w:r>
      <w:r>
        <w:rPr>
          <w:rFonts w:hint="eastAsia"/>
          <w:color w:val="auto"/>
          <w:sz w:val="32"/>
          <w:szCs w:val="32"/>
        </w:rPr>
        <w:t xml:space="preserve">分，得分率为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100.00%</w:t>
      </w:r>
      <w:r>
        <w:rPr>
          <w:rFonts w:hint="eastAsia"/>
          <w:color w:val="auto"/>
          <w:sz w:val="32"/>
          <w:szCs w:val="32"/>
        </w:rPr>
        <w:t xml:space="preserve">。</w:t>
      </w:r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1.项目立项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(1)</w:t>
      </w:r>
      <w:r>
        <w:rPr>
          <w:rFonts w:hint="eastAsia"/>
          <w:sz w:val="32"/>
          <w:szCs w:val="32"/>
        </w:rPr>
        <w:t xml:space="preserve">立项依据充分性</w:t>
      </w:r>
    </w:p>
    <w:p>
      <w:pPr>
        <w:spacing w:line="600" w:lineRule="exact"/>
        <w:ind w:firstLine="640" w:firstLineChars="200"/>
        <w:rPr>
          <w:rFonts w:eastAsia="仿宋_GB2312" w:hint="eastAsia"/>
          <w:color w:val="FF0000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该项目立项</w:t>
      </w:r>
      <w:r>
        <w:rPr>
          <w:rFonts w:hint="eastAsia"/>
          <w:color w:val="auto"/>
          <w:sz w:val="32"/>
          <w:szCs w:val="32"/>
        </w:rPr>
        <w:t xml:space="preserve">依据</w:t>
      </w:r>
      <w:r>
        <w:rPr>
          <w:rFonts w:hint="eastAsia"/>
          <w:color w:val="auto"/>
          <w:sz w:val="32"/>
          <w:szCs w:val="32"/>
          <w:lang w:eastAsia="zh-CN"/>
        </w:rPr>
        <w:t xml:space="preserve">《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新疆维吾尔自治区国民经济和社会发展第十四个五年规划和2035年远景目标纲要</w:t>
      </w:r>
      <w:r>
        <w:rPr>
          <w:rFonts w:hint="eastAsia"/>
          <w:color w:val="auto"/>
          <w:sz w:val="32"/>
          <w:szCs w:val="32"/>
          <w:lang w:eastAsia="zh-CN"/>
        </w:rPr>
        <w:t xml:space="preserve">》、《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伊犁州都拉塔口岸总体规划（2012-2030）</w:t>
      </w:r>
      <w:r>
        <w:rPr>
          <w:rFonts w:hint="eastAsia"/>
          <w:color w:val="auto"/>
          <w:sz w:val="32"/>
          <w:szCs w:val="32"/>
          <w:lang w:eastAsia="zh-CN"/>
        </w:rPr>
        <w:t xml:space="preserve">》，符合国家相关法律法规、国民经济发展规划和相关政策，符合行业规划和政策要求，围绕本年度工作重点和工作计划制定经费预算，属</w:t>
      </w:r>
      <w:r>
        <w:rPr>
          <w:rFonts w:hint="eastAsia"/>
          <w:color w:val="auto"/>
          <w:sz w:val="32"/>
          <w:szCs w:val="32"/>
          <w:lang w:eastAsia="zh-CN"/>
        </w:rPr>
        <w:t xml:space="preserve">干部</w:t>
      </w:r>
      <w:r>
        <w:rPr>
          <w:rFonts w:hint="eastAsia"/>
          <w:color w:val="auto"/>
          <w:sz w:val="32"/>
          <w:szCs w:val="32"/>
          <w:lang w:eastAsia="zh-CN"/>
        </w:rPr>
        <w:t xml:space="preserve">门履职所需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及</w:t>
      </w:r>
      <w:r>
        <w:rPr>
          <w:rFonts w:hint="eastAsia"/>
          <w:color w:val="auto"/>
          <w:sz w:val="32"/>
          <w:szCs w:val="32"/>
          <w:lang w:eastAsia="zh-CN"/>
        </w:rPr>
        <w:t xml:space="preserve">公共财政支持范围。本项目与部门内部其他相关项目不重复。部门发展规划及职能文件等归档完整。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</w:t>
      </w:r>
      <w:r>
        <w:rPr>
          <w:rFonts w:hint="eastAsia"/>
          <w:sz w:val="32"/>
          <w:szCs w:val="32"/>
          <w:lang w:val="en-US" w:eastAsia="zh-CN"/>
        </w:rPr>
        <w:t xml:space="preserve">2</w:t>
      </w:r>
      <w:r>
        <w:rPr>
          <w:rFonts w:hint="eastAsia"/>
          <w:sz w:val="32"/>
          <w:szCs w:val="32"/>
          <w:lang w:eastAsia="zh-CN"/>
        </w:rPr>
        <w:t xml:space="preserve">)</w:t>
      </w:r>
      <w:r>
        <w:rPr>
          <w:rFonts w:hint="eastAsia"/>
          <w:sz w:val="32"/>
          <w:szCs w:val="32"/>
        </w:rPr>
        <w:t xml:space="preserve">立项程序规范性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2.绩效目标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(1)</w:t>
      </w:r>
      <w:r>
        <w:rPr>
          <w:rFonts w:hint="eastAsia"/>
          <w:sz w:val="32"/>
          <w:szCs w:val="32"/>
        </w:rPr>
        <w:t xml:space="preserve">绩效目标合理性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 xml:space="preserve">本项目</w:t>
      </w:r>
      <w:r>
        <w:rPr>
          <w:rFonts w:hint="eastAsia"/>
          <w:color w:val="auto"/>
          <w:sz w:val="32"/>
          <w:szCs w:val="32"/>
          <w:lang w:eastAsia="zh-CN"/>
        </w:rPr>
        <w:t xml:space="preserve">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 xml:space="preserve">绩效指标明确性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项目设置了明确的预期产出效益和效果，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且</w:t>
      </w:r>
      <w:r>
        <w:rPr>
          <w:rFonts w:hint="eastAsia"/>
          <w:color w:val="auto"/>
          <w:sz w:val="32"/>
          <w:szCs w:val="32"/>
          <w:lang w:eastAsia="zh-CN"/>
        </w:rPr>
        <w:t xml:space="preserve">将项目绩效目标细化分解为具体的绩效指标，一级指标共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4</w:t>
      </w:r>
      <w:r>
        <w:rPr>
          <w:rFonts w:hint="eastAsia"/>
          <w:color w:val="auto"/>
          <w:sz w:val="32"/>
          <w:szCs w:val="32"/>
          <w:lang w:eastAsia="zh-CN"/>
        </w:rPr>
        <w:t xml:space="preserve">条，二级指标共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6</w:t>
      </w:r>
      <w:r>
        <w:rPr>
          <w:rFonts w:hint="eastAsia"/>
          <w:color w:val="auto"/>
          <w:sz w:val="32"/>
          <w:szCs w:val="32"/>
          <w:lang w:eastAsia="zh-CN"/>
        </w:rPr>
        <w:t xml:space="preserve">条，三级指标共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23</w:t>
      </w:r>
      <w:r>
        <w:rPr>
          <w:rFonts w:hint="eastAsia"/>
          <w:color w:val="auto"/>
          <w:sz w:val="32"/>
          <w:szCs w:val="32"/>
          <w:lang w:eastAsia="zh-CN"/>
        </w:rPr>
        <w:t xml:space="preserve">条，其中量化指标条数共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22</w:t>
      </w:r>
      <w:r>
        <w:rPr>
          <w:rFonts w:hint="eastAsia"/>
          <w:color w:val="auto"/>
          <w:sz w:val="32"/>
          <w:szCs w:val="32"/>
          <w:lang w:eastAsia="zh-CN"/>
        </w:rPr>
        <w:t xml:space="preserve">条，所有绩效指标均通过清晰、可衡量的指标值予以体现，并且做到与项目目标任务数或计划数相对应。</w:t>
      </w:r>
    </w:p>
    <w:p>
      <w:pPr>
        <w:spacing w:line="600" w:lineRule="exact"/>
        <w:ind w:firstLine="640" w:firstLineChars="200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3.资金投入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(1)</w:t>
      </w:r>
      <w:r>
        <w:rPr>
          <w:rFonts w:hint="eastAsia"/>
          <w:sz w:val="32"/>
          <w:szCs w:val="32"/>
        </w:rPr>
        <w:t xml:space="preserve">预算编制科学性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(2)</w:t>
      </w:r>
      <w:r>
        <w:rPr>
          <w:rFonts w:hint="eastAsia"/>
          <w:sz w:val="32"/>
          <w:szCs w:val="32"/>
        </w:rPr>
        <w:t xml:space="preserve">资金分配合理性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本项目的资金分配遵循了公平、公正、透明的原则，确保了项目资源的合理配置与高效利用。在资金分配过程中，充分考虑了项目的实际需求与目标，对不同阶段、不同任务的资金进行了科学的规划与安排。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具体而言，资金分配紧密结合了项目的特点与实际情况，对关键领域与重要环节给予了重点支持。同时，也注重了资金的均衡分配，避免了资源浪费与资金闲置。此外，资金分配还充分考虑了风险因素，对可能出现的超支情况进行了预留与调整。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spacing w:line="600" w:lineRule="exact"/>
        <w:ind w:firstLine="640" w:firstLineChars="200"/>
        <w:outlineLvl w:val="1"/>
        <w:rPr>
          <w:rFonts w:ascii="仿宋" w:eastAsia="仿宋" w:hint="eastAsia"/>
          <w:b/>
          <w:bCs/>
          <w:sz w:val="32"/>
          <w:szCs w:val="32"/>
        </w:rPr>
      </w:pPr>
      <w:bookmarkStart w:id="13" w:name="_Toc17121"/>
      <w:r>
        <w:rPr>
          <w:rFonts w:ascii="仿宋" w:eastAsia="仿宋" w:hint="eastAsia"/>
          <w:b/>
          <w:bCs/>
          <w:sz w:val="32"/>
          <w:szCs w:val="32"/>
        </w:rPr>
        <w:t xml:space="preserve">（二）项目过程情况</w:t>
      </w:r>
      <w:bookmarkEnd w:id="13"/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项目过程类指标包括资金管理和组织实施两方面的内容，由</w:t>
      </w:r>
      <w:r>
        <w:rPr>
          <w:rFonts w:hint="eastAsia"/>
          <w:sz w:val="32"/>
          <w:szCs w:val="32"/>
          <w:lang w:val="en-US" w:eastAsia="zh-CN"/>
        </w:rPr>
        <w:t xml:space="preserve">5</w:t>
      </w:r>
      <w:r>
        <w:rPr>
          <w:rFonts w:hint="eastAsia"/>
          <w:sz w:val="32"/>
          <w:szCs w:val="32"/>
        </w:rPr>
        <w:t xml:space="preserve">个三级指标构成，权重分值为</w:t>
      </w:r>
      <w:r>
        <w:rPr>
          <w:rFonts w:hint="eastAsia"/>
          <w:sz w:val="32"/>
          <w:szCs w:val="32"/>
          <w:lang w:val="en-US" w:eastAsia="zh-CN"/>
        </w:rPr>
        <w:t xml:space="preserve">2</w:t>
      </w:r>
      <w:r>
        <w:rPr>
          <w:rFonts w:hint="eastAsia"/>
          <w:sz w:val="32"/>
          <w:szCs w:val="32"/>
        </w:rPr>
        <w:t xml:space="preserve">0分，实际得分</w:t>
      </w:r>
      <w:r>
        <w:rPr>
          <w:rFonts w:hint="eastAsia"/>
          <w:sz w:val="32"/>
          <w:szCs w:val="32"/>
          <w:lang w:val="en-US" w:eastAsia="zh-CN"/>
        </w:rPr>
        <w:t xml:space="preserve">19.02</w:t>
      </w:r>
      <w:r>
        <w:rPr>
          <w:rFonts w:hint="eastAsia"/>
          <w:sz w:val="32"/>
          <w:szCs w:val="32"/>
        </w:rPr>
        <w:t xml:space="preserve">分，得分率为</w:t>
      </w:r>
      <w:r>
        <w:rPr>
          <w:rFonts w:hint="eastAsia"/>
          <w:sz w:val="32"/>
          <w:szCs w:val="32"/>
          <w:lang w:val="en-US" w:eastAsia="zh-CN"/>
        </w:rPr>
        <w:t xml:space="preserve">95.10</w:t>
      </w:r>
      <w:r>
        <w:rPr>
          <w:rFonts w:hint="eastAsia"/>
          <w:sz w:val="32"/>
          <w:szCs w:val="32"/>
        </w:rPr>
        <w:t xml:space="preserve">%。</w:t>
      </w:r>
    </w:p>
    <w:p>
      <w:pPr>
        <w:spacing w:line="600" w:lineRule="exact"/>
        <w:ind w:firstLine="640" w:firstLineChars="200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 xml:space="preserve">1.资金管理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(1)</w:t>
      </w:r>
      <w:r>
        <w:rPr>
          <w:rFonts w:hint="eastAsia"/>
          <w:sz w:val="32"/>
          <w:szCs w:val="32"/>
        </w:rPr>
        <w:t xml:space="preserve">资金到位率：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项目预算资金</w:t>
      </w:r>
      <w:r>
        <w:rPr>
          <w:rFonts w:hint="eastAsia"/>
          <w:sz w:val="32"/>
          <w:szCs w:val="32"/>
          <w:lang w:val="en-US" w:eastAsia="zh-CN"/>
        </w:rPr>
        <w:t xml:space="preserve">1468.00</w:t>
      </w:r>
      <w:r>
        <w:rPr>
          <w:rFonts w:hint="eastAsia"/>
          <w:sz w:val="32"/>
          <w:szCs w:val="32"/>
        </w:rPr>
        <w:t xml:space="preserve">万元，</w:t>
      </w:r>
      <w:r>
        <w:rPr>
          <w:rFonts w:hint="eastAsia"/>
          <w:sz w:val="32"/>
          <w:szCs w:val="32"/>
          <w:highlight w:val="none"/>
        </w:rPr>
        <w:t xml:space="preserve">实际到位资金</w:t>
      </w:r>
      <w:r>
        <w:rPr>
          <w:rFonts w:hint="eastAsia"/>
          <w:sz w:val="32"/>
          <w:szCs w:val="32"/>
          <w:highlight w:val="none"/>
          <w:lang w:val="en-US" w:eastAsia="zh-CN"/>
        </w:rPr>
        <w:t xml:space="preserve">1468.00</w:t>
      </w:r>
      <w:r>
        <w:rPr>
          <w:rFonts w:hint="eastAsia"/>
          <w:sz w:val="32"/>
          <w:szCs w:val="32"/>
          <w:highlight w:val="none"/>
        </w:rPr>
        <w:t xml:space="preserve">万元</w:t>
      </w:r>
      <w:r>
        <w:rPr>
          <w:rFonts w:hint="eastAsia"/>
          <w:sz w:val="32"/>
          <w:szCs w:val="32"/>
        </w:rPr>
        <w:t xml:space="preserve">，资金到位率</w:t>
      </w:r>
      <w:r>
        <w:rPr>
          <w:rFonts w:hint="eastAsia"/>
          <w:sz w:val="32"/>
          <w:szCs w:val="32"/>
          <w:lang w:val="en-US" w:eastAsia="zh-CN"/>
        </w:rPr>
        <w:t xml:space="preserve">100.00</w:t>
      </w:r>
      <w:r>
        <w:rPr>
          <w:rFonts w:hint="eastAsia"/>
          <w:sz w:val="32"/>
          <w:szCs w:val="32"/>
        </w:rPr>
        <w:t xml:space="preserve">%。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(2)</w:t>
      </w:r>
      <w:r>
        <w:rPr>
          <w:rFonts w:hint="eastAsia"/>
          <w:sz w:val="32"/>
          <w:szCs w:val="32"/>
        </w:rPr>
        <w:t xml:space="preserve">预算执行率</w:t>
      </w:r>
    </w:p>
    <w:p>
      <w:pPr>
        <w:spacing w:line="600" w:lineRule="exact"/>
        <w:ind w:firstLine="640" w:firstLineChars="200"/>
        <w:rPr>
          <w:rFonts w:eastAsia="仿宋_GB2312" w:hint="eastAsia"/>
          <w:color w:val="FF0000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 xml:space="preserve">预算编制较为详细，项目资金支出总体能够按照预算执行，</w:t>
      </w:r>
      <w:r>
        <w:rPr>
          <w:rFonts w:hint="eastAsia"/>
          <w:sz w:val="32"/>
          <w:szCs w:val="32"/>
          <w:lang w:val="en-US" w:eastAsia="zh-CN"/>
        </w:rPr>
        <w:t xml:space="preserve">项目</w:t>
      </w:r>
      <w:r>
        <w:rPr>
          <w:rFonts w:hint="eastAsia"/>
          <w:sz w:val="32"/>
          <w:szCs w:val="32"/>
        </w:rPr>
        <w:t xml:space="preserve">年初预算数</w:t>
      </w:r>
      <w:r>
        <w:rPr>
          <w:rFonts w:hint="eastAsia"/>
          <w:sz w:val="32"/>
          <w:szCs w:val="32"/>
          <w:lang w:val="en-US" w:eastAsia="zh-CN"/>
        </w:rPr>
        <w:t xml:space="preserve">0.00</w:t>
      </w:r>
      <w:r>
        <w:rPr>
          <w:rFonts w:hint="eastAsia"/>
          <w:sz w:val="32"/>
          <w:szCs w:val="32"/>
        </w:rPr>
        <w:t xml:space="preserve">万元，全年预算数</w:t>
      </w:r>
      <w:r>
        <w:rPr>
          <w:rFonts w:hint="eastAsia"/>
          <w:sz w:val="32"/>
          <w:szCs w:val="32"/>
          <w:lang w:val="en-US" w:eastAsia="zh-CN"/>
        </w:rPr>
        <w:t xml:space="preserve">1468.00</w:t>
      </w:r>
      <w:r>
        <w:rPr>
          <w:rFonts w:hint="eastAsia"/>
          <w:sz w:val="32"/>
          <w:szCs w:val="32"/>
        </w:rPr>
        <w:t xml:space="preserve">万元，全年执行数</w:t>
      </w:r>
      <w:r>
        <w:rPr>
          <w:rFonts w:hint="eastAsia"/>
          <w:sz w:val="32"/>
          <w:szCs w:val="32"/>
          <w:lang w:val="en-US" w:eastAsia="zh-CN"/>
        </w:rPr>
        <w:t xml:space="preserve">1106.75</w:t>
      </w:r>
      <w:r>
        <w:rPr>
          <w:rFonts w:hint="eastAsia"/>
          <w:sz w:val="32"/>
          <w:szCs w:val="32"/>
        </w:rPr>
        <w:t xml:space="preserve">万元，预算执行率为</w:t>
      </w:r>
      <w:r>
        <w:rPr>
          <w:rFonts w:hint="eastAsia"/>
          <w:sz w:val="32"/>
          <w:szCs w:val="32"/>
          <w:lang w:val="en-US" w:eastAsia="zh-CN"/>
        </w:rPr>
        <w:t xml:space="preserve">75.39</w:t>
      </w:r>
      <w:r>
        <w:rPr>
          <w:rFonts w:hint="eastAsia"/>
          <w:sz w:val="32"/>
          <w:szCs w:val="32"/>
        </w:rPr>
        <w:t xml:space="preserve">%</w:t>
      </w:r>
      <w:r>
        <w:rPr>
          <w:rFonts w:hint="eastAsia"/>
          <w:sz w:val="32"/>
          <w:szCs w:val="32"/>
          <w:lang w:eastAsia="zh-CN"/>
        </w:rPr>
        <w:t xml:space="preserve">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(3)</w:t>
      </w:r>
      <w:r>
        <w:rPr>
          <w:rFonts w:hint="eastAsia"/>
          <w:sz w:val="32"/>
          <w:szCs w:val="32"/>
        </w:rPr>
        <w:t xml:space="preserve">资金使用合规性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本项目的资金使用严格遵循国家相关法律法规与财务制度，确保了资金的合规性与安全性。在资金使用过程中，建立了完善的财务管理体系，对资金的流动进行了全程监控与记录。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具体而言，资金使用坚持了专款专用的原则，确保了项目资金不被挪用或截留。同时，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spacing w:line="600" w:lineRule="exact"/>
        <w:ind w:firstLine="640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2.组织实施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 xml:space="preserve">(1)</w:t>
      </w:r>
      <w:r>
        <w:rPr>
          <w:rFonts w:hint="eastAsia"/>
          <w:sz w:val="32"/>
          <w:szCs w:val="32"/>
        </w:rPr>
        <w:t xml:space="preserve">管理制度健全性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在制度设计上，注重了制度的科学性与可操作性，确保制度能够切实指导项目的执行与管理。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建立了有效的监督机制与反馈机制，对项目的实施情况进行定期检查与评估，及时发现并纠正可能存在的问题。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spacing w:line="60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(</w:t>
      </w:r>
      <w:r>
        <w:rPr>
          <w:rFonts w:hint="eastAsia"/>
          <w:sz w:val="32"/>
          <w:szCs w:val="32"/>
          <w:lang w:val="en-US" w:eastAsia="zh-CN"/>
        </w:rPr>
        <w:t xml:space="preserve">2</w:t>
      </w:r>
      <w:r>
        <w:rPr>
          <w:rFonts w:hint="eastAsia"/>
          <w:sz w:val="32"/>
          <w:szCs w:val="32"/>
          <w:lang w:eastAsia="zh-CN"/>
        </w:rPr>
        <w:t xml:space="preserve">)</w:t>
      </w:r>
      <w:r>
        <w:rPr>
          <w:rFonts w:hint="eastAsia"/>
          <w:sz w:val="32"/>
          <w:szCs w:val="32"/>
        </w:rPr>
        <w:t xml:space="preserve">制度执行有效性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本项目在执行过程中，管理制度得到了全面、有效地落实，为确保项目的顺利实施与目标实现提供了坚实的保障。项目单位重视制度执行的重要性，通过明确责任分工、制定详细执行计划、加强监督考核等措施，确保各项管理制度能够得到有效执行。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在具体执行过程中，项目团队成员严格按照制度要求进行操作。同时，还建立了有效的沟通机制与反馈机制，确保项目信息的及时传递与问题的及时解决，进一步提高了制度执行的效率与效果。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600" w:lineRule="exact"/>
        <w:ind w:firstLine="640" w:firstLineChars="200"/>
        <w:outlineLvl w:val="1"/>
        <w:rPr>
          <w:rFonts w:ascii="仿宋" w:eastAsia="仿宋" w:hint="eastAsia"/>
          <w:b/>
          <w:bCs/>
          <w:sz w:val="32"/>
          <w:szCs w:val="32"/>
        </w:rPr>
      </w:pPr>
      <w:bookmarkStart w:id="14" w:name="_Toc28703"/>
      <w:r>
        <w:rPr>
          <w:rFonts w:ascii="仿宋" w:eastAsia="仿宋" w:hint="eastAsia"/>
          <w:b/>
          <w:bCs/>
          <w:sz w:val="32"/>
          <w:szCs w:val="32"/>
        </w:rPr>
        <w:t xml:space="preserve">（三）项目产出情况</w:t>
      </w:r>
      <w:bookmarkEnd w:id="14"/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项目产出类指标包括产出数量、产出质量、产出时效、产出成本四方面的内容，由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4</w:t>
      </w:r>
      <w:r>
        <w:rPr>
          <w:rFonts w:hint="eastAsia"/>
          <w:color w:val="auto"/>
          <w:sz w:val="32"/>
          <w:szCs w:val="32"/>
          <w:lang w:eastAsia="zh-CN"/>
        </w:rPr>
        <w:t xml:space="preserve">个三级指标构成，权重分为</w:t>
      </w: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 xml:space="preserve">40</w:t>
      </w:r>
      <w:r>
        <w:rPr>
          <w:rFonts w:hint="eastAsia"/>
          <w:color w:val="auto"/>
          <w:sz w:val="32"/>
          <w:szCs w:val="32"/>
          <w:highlight w:val="none"/>
          <w:lang w:eastAsia="zh-CN"/>
        </w:rPr>
        <w:t xml:space="preserve">分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，实际得分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35.40</w:t>
      </w:r>
      <w:r>
        <w:rPr>
          <w:rFonts w:hint="eastAsia"/>
          <w:color w:val="auto"/>
          <w:sz w:val="32"/>
          <w:szCs w:val="32"/>
          <w:lang w:eastAsia="zh-CN"/>
        </w:rPr>
        <w:t xml:space="preserve">分，得分率为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88.50</w:t>
      </w:r>
      <w:r>
        <w:rPr>
          <w:rFonts w:hint="eastAsia"/>
          <w:color w:val="auto"/>
          <w:sz w:val="32"/>
          <w:szCs w:val="32"/>
          <w:lang w:eastAsia="zh-CN"/>
        </w:rPr>
        <w:t xml:space="preserve">%。具体产出指标完成情况如下：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1.数量指标：指标1：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改造排污管网工程量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≥5032米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=4214米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83.74</w:t>
      </w:r>
      <w:r>
        <w:rPr>
          <w:rFonts w:hint="eastAsia"/>
          <w:color w:val="auto"/>
          <w:sz w:val="32"/>
          <w:szCs w:val="32"/>
          <w:lang w:eastAsia="zh-CN"/>
        </w:rPr>
        <w:t xml:space="preserve">%，偏差原因：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经设计变更，该项目排污管网工程量达4214米（现已完成全部工程量），未同步更新指标台账导致出现偏差</w:t>
      </w:r>
      <w:r>
        <w:rPr>
          <w:rFonts w:hint="eastAsia"/>
          <w:color w:val="auto"/>
          <w:sz w:val="32"/>
          <w:szCs w:val="32"/>
          <w:lang w:eastAsia="zh-CN"/>
        </w:rPr>
        <w:t xml:space="preserve">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2</w:t>
      </w:r>
      <w:r>
        <w:rPr>
          <w:rFonts w:hint="eastAsia"/>
          <w:color w:val="auto"/>
          <w:sz w:val="32"/>
          <w:szCs w:val="32"/>
          <w:lang w:eastAsia="zh-CN"/>
        </w:rPr>
        <w:t xml:space="preserve">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改造给水管网工程量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≥3668米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</w:t>
      </w:r>
      <w:r>
        <w:rPr>
          <w:rFonts w:hint="eastAsia"/>
          <w:color w:val="auto"/>
          <w:sz w:val="32"/>
          <w:szCs w:val="32"/>
          <w:lang w:eastAsia="zh-CN"/>
        </w:rPr>
        <w:t xml:space="preserve">5365.33米，指标完成率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146.27</w:t>
      </w:r>
      <w:r>
        <w:rPr>
          <w:rFonts w:hint="eastAsia"/>
          <w:color w:val="auto"/>
          <w:sz w:val="32"/>
          <w:szCs w:val="32"/>
          <w:lang w:eastAsia="zh-CN"/>
        </w:rPr>
        <w:t xml:space="preserve">%，偏差原因：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经设计变更，该项目给水管网工程量为5365.33米（现已完成全部工程量），未同步更新指标台账导致出现偏差</w:t>
      </w:r>
      <w:r>
        <w:rPr>
          <w:rFonts w:hint="eastAsia"/>
          <w:color w:val="auto"/>
          <w:sz w:val="32"/>
          <w:szCs w:val="32"/>
          <w:lang w:eastAsia="zh-CN"/>
        </w:rPr>
        <w:t xml:space="preserve">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3</w:t>
      </w:r>
      <w:r>
        <w:rPr>
          <w:rFonts w:hint="eastAsia"/>
          <w:color w:val="auto"/>
          <w:sz w:val="32"/>
          <w:szCs w:val="32"/>
          <w:lang w:eastAsia="zh-CN"/>
        </w:rPr>
        <w:t xml:space="preserve">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新建钢筋混凝土检查井数量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，指标值：≥169座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=165座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97.63</w:t>
      </w:r>
      <w:r>
        <w:rPr>
          <w:rFonts w:hint="eastAsia"/>
          <w:color w:val="auto"/>
          <w:sz w:val="32"/>
          <w:szCs w:val="32"/>
          <w:lang w:eastAsia="zh-CN"/>
        </w:rPr>
        <w:t xml:space="preserve">%，偏差原因：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经设计变更，新建钢筋混凝土检查井165座，目前已完工</w:t>
      </w:r>
      <w:r>
        <w:rPr>
          <w:rFonts w:hint="eastAsia"/>
          <w:color w:val="auto"/>
          <w:sz w:val="32"/>
          <w:szCs w:val="32"/>
          <w:lang w:eastAsia="zh-CN"/>
        </w:rPr>
        <w:t xml:space="preserve">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4</w:t>
      </w:r>
      <w:r>
        <w:rPr>
          <w:rFonts w:hint="eastAsia"/>
          <w:color w:val="auto"/>
          <w:sz w:val="32"/>
          <w:szCs w:val="32"/>
          <w:lang w:eastAsia="zh-CN"/>
        </w:rPr>
        <w:t xml:space="preserve">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管网地貌恢复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≥28994.5平方米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=28994.5平方米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100.00</w:t>
      </w:r>
      <w:r>
        <w:rPr>
          <w:rFonts w:hint="eastAsia"/>
          <w:color w:val="auto"/>
          <w:sz w:val="32"/>
          <w:szCs w:val="32"/>
          <w:lang w:eastAsia="zh-CN"/>
        </w:rPr>
        <w:t xml:space="preserve">%；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2.质量指标：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</w:t>
      </w:r>
      <w:r>
        <w:rPr>
          <w:rFonts w:hint="eastAsia"/>
          <w:color w:val="auto"/>
          <w:sz w:val="32"/>
          <w:szCs w:val="32"/>
          <w:lang w:eastAsia="zh-CN"/>
        </w:rPr>
        <w:t xml:space="preserve">：政府采购率，指标值：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=100%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=100%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100.00</w:t>
      </w:r>
      <w:r>
        <w:rPr>
          <w:rFonts w:hint="eastAsia"/>
          <w:color w:val="auto"/>
          <w:sz w:val="32"/>
          <w:szCs w:val="32"/>
          <w:lang w:eastAsia="zh-CN"/>
        </w:rPr>
        <w:t xml:space="preserve">%；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2</w:t>
      </w:r>
      <w:r>
        <w:rPr>
          <w:rFonts w:hint="eastAsia"/>
          <w:color w:val="auto"/>
          <w:sz w:val="32"/>
          <w:szCs w:val="32"/>
          <w:lang w:eastAsia="zh-CN"/>
        </w:rPr>
        <w:t xml:space="preserve">：“两个责任”按项目落实到位率，指标值：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=100%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=100%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100.00</w:t>
      </w:r>
      <w:r>
        <w:rPr>
          <w:rFonts w:hint="eastAsia"/>
          <w:color w:val="auto"/>
          <w:sz w:val="32"/>
          <w:szCs w:val="32"/>
          <w:lang w:eastAsia="zh-CN"/>
        </w:rPr>
        <w:t xml:space="preserve">%；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3</w:t>
      </w:r>
      <w:r>
        <w:rPr>
          <w:rFonts w:hint="eastAsia"/>
          <w:color w:val="auto"/>
          <w:sz w:val="32"/>
          <w:szCs w:val="32"/>
          <w:lang w:eastAsia="zh-CN"/>
        </w:rPr>
        <w:t xml:space="preserve">：中央预算内投资支付率，指标值：≥70%，实际完成值：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</w:t>
      </w:r>
      <w:r>
        <w:rPr>
          <w:rFonts w:hint="eastAsia"/>
          <w:color w:val="auto"/>
          <w:sz w:val="32"/>
          <w:szCs w:val="32"/>
          <w:lang w:eastAsia="zh-CN"/>
        </w:rPr>
        <w:t xml:space="preserve">75.39%，指标完成率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107.70</w:t>
      </w:r>
      <w:r>
        <w:rPr>
          <w:rFonts w:hint="eastAsia"/>
          <w:color w:val="auto"/>
          <w:sz w:val="32"/>
          <w:szCs w:val="32"/>
          <w:lang w:eastAsia="zh-CN"/>
        </w:rPr>
        <w:t xml:space="preserve">%，偏差原因：该项目验收结算流程正在推进中，相关款项未达合同约定付款节点，还有部分尾款和质保金没有支付；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4</w:t>
      </w:r>
      <w:r>
        <w:rPr>
          <w:rFonts w:hint="eastAsia"/>
          <w:color w:val="auto"/>
          <w:sz w:val="32"/>
          <w:szCs w:val="32"/>
          <w:lang w:eastAsia="zh-CN"/>
        </w:rPr>
        <w:t xml:space="preserve">：超规模、超标准、超概算项目比例，指标值：≤5%，实际完成值：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=0%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100.00</w:t>
      </w:r>
      <w:r>
        <w:rPr>
          <w:rFonts w:hint="eastAsia"/>
          <w:color w:val="auto"/>
          <w:sz w:val="32"/>
          <w:szCs w:val="32"/>
          <w:lang w:eastAsia="zh-CN"/>
        </w:rPr>
        <w:t xml:space="preserve">%；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5</w:t>
      </w:r>
      <w:r>
        <w:rPr>
          <w:rFonts w:hint="eastAsia"/>
          <w:color w:val="auto"/>
          <w:sz w:val="32"/>
          <w:szCs w:val="32"/>
          <w:lang w:eastAsia="zh-CN"/>
        </w:rPr>
        <w:t xml:space="preserve">：审计、督查、巡视等指出问题项目比例，指标值：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=0%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=0%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100.00</w:t>
      </w:r>
      <w:r>
        <w:rPr>
          <w:rFonts w:hint="eastAsia"/>
          <w:color w:val="auto"/>
          <w:sz w:val="32"/>
          <w:szCs w:val="32"/>
          <w:lang w:eastAsia="zh-CN"/>
        </w:rPr>
        <w:t xml:space="preserve">%；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6</w:t>
      </w:r>
      <w:r>
        <w:rPr>
          <w:rFonts w:hint="eastAsia"/>
          <w:color w:val="auto"/>
          <w:sz w:val="32"/>
          <w:szCs w:val="32"/>
          <w:lang w:eastAsia="zh-CN"/>
        </w:rPr>
        <w:t xml:space="preserve">：总投资完成率，指标值：≥80%，实际完成值：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</w:t>
      </w:r>
      <w:r>
        <w:rPr>
          <w:rFonts w:hint="eastAsia"/>
          <w:color w:val="auto"/>
          <w:sz w:val="32"/>
          <w:szCs w:val="32"/>
          <w:lang w:eastAsia="zh-CN"/>
        </w:rPr>
        <w:t xml:space="preserve">75.39%，指标完成率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94.24</w:t>
      </w:r>
      <w:r>
        <w:rPr>
          <w:rFonts w:hint="eastAsia"/>
          <w:color w:val="auto"/>
          <w:sz w:val="32"/>
          <w:szCs w:val="32"/>
          <w:lang w:eastAsia="zh-CN"/>
        </w:rPr>
        <w:t xml:space="preserve">%，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偏差原因：该项目验收结算流程正在推进中，相关款项未达合同约定付款节点，还有部分尾款和质保金没有支付</w:t>
      </w:r>
      <w:r>
        <w:rPr>
          <w:rFonts w:hint="eastAsia"/>
          <w:color w:val="auto"/>
          <w:sz w:val="32"/>
          <w:szCs w:val="32"/>
          <w:lang w:eastAsia="zh-CN"/>
        </w:rPr>
        <w:t xml:space="preserve">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7</w:t>
      </w:r>
      <w:r>
        <w:rPr>
          <w:rFonts w:hint="eastAsia"/>
          <w:color w:val="auto"/>
          <w:sz w:val="32"/>
          <w:szCs w:val="32"/>
          <w:lang w:eastAsia="zh-CN"/>
        </w:rPr>
        <w:t xml:space="preserve">：项目设计变更率，指标值：≤5%，实际完成值：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=4.72%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100.00</w:t>
      </w:r>
      <w:r>
        <w:rPr>
          <w:rFonts w:hint="eastAsia"/>
          <w:color w:val="auto"/>
          <w:sz w:val="32"/>
          <w:szCs w:val="32"/>
          <w:lang w:eastAsia="zh-CN"/>
        </w:rPr>
        <w:t xml:space="preserve">%；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8</w:t>
      </w:r>
      <w:r>
        <w:rPr>
          <w:rFonts w:hint="eastAsia"/>
          <w:color w:val="auto"/>
          <w:sz w:val="32"/>
          <w:szCs w:val="32"/>
          <w:lang w:eastAsia="zh-CN"/>
        </w:rPr>
        <w:t xml:space="preserve">：竣工验收合格率，指标值：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=100%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=100%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100.00%</w:t>
      </w:r>
      <w:r>
        <w:rPr>
          <w:rFonts w:hint="eastAsia"/>
          <w:color w:val="auto"/>
          <w:sz w:val="32"/>
          <w:szCs w:val="32"/>
          <w:lang w:eastAsia="zh-CN"/>
        </w:rPr>
        <w:t xml:space="preserve">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9</w:t>
      </w:r>
      <w:r>
        <w:rPr>
          <w:rFonts w:hint="eastAsia"/>
          <w:color w:val="auto"/>
          <w:sz w:val="32"/>
          <w:szCs w:val="32"/>
          <w:lang w:eastAsia="zh-CN"/>
        </w:rPr>
        <w:t xml:space="preserve">：项目资金支付率，指标值：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100%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，实际完成值：=75.39%，指标完成率75.39%，偏差原因：该项目验收结算流程正在推进中，相关款项未达合同约定付款节点，还有部分尾款和质保金没有支付；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3.时效指标：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指标1：投资计划转发用时，指标值：≤5个工作日，实际完成值：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</w:t>
      </w:r>
      <w:r>
        <w:rPr>
          <w:rFonts w:hint="eastAsia"/>
          <w:color w:val="auto"/>
          <w:sz w:val="32"/>
          <w:szCs w:val="32"/>
          <w:lang w:eastAsia="zh-CN"/>
        </w:rPr>
        <w:t xml:space="preserve">1个工作日，指标完成率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100.00</w:t>
      </w:r>
      <w:r>
        <w:rPr>
          <w:rFonts w:hint="eastAsia"/>
          <w:color w:val="auto"/>
          <w:sz w:val="32"/>
          <w:szCs w:val="32"/>
          <w:lang w:eastAsia="zh-CN"/>
        </w:rPr>
        <w:t xml:space="preserve">%；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2</w:t>
      </w:r>
      <w:r>
        <w:rPr>
          <w:rFonts w:hint="eastAsia"/>
          <w:color w:val="auto"/>
          <w:sz w:val="32"/>
          <w:szCs w:val="32"/>
          <w:lang w:eastAsia="zh-CN"/>
        </w:rPr>
        <w:t xml:space="preserve">：项目开工率，指标值：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=100%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=100%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100.00</w:t>
      </w:r>
      <w:r>
        <w:rPr>
          <w:rFonts w:hint="eastAsia"/>
          <w:color w:val="auto"/>
          <w:sz w:val="32"/>
          <w:szCs w:val="32"/>
          <w:lang w:eastAsia="zh-CN"/>
        </w:rPr>
        <w:t xml:space="preserve">%；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3</w:t>
      </w:r>
      <w:r>
        <w:rPr>
          <w:rFonts w:hint="eastAsia"/>
          <w:color w:val="auto"/>
          <w:sz w:val="32"/>
          <w:szCs w:val="32"/>
          <w:lang w:eastAsia="zh-CN"/>
        </w:rPr>
        <w:t xml:space="preserve">：项目按计划开工时间，指标值：≤8月30日，实际完成值：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=8月20日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100.00</w:t>
      </w:r>
      <w:r>
        <w:rPr>
          <w:rFonts w:hint="eastAsia"/>
          <w:color w:val="auto"/>
          <w:sz w:val="32"/>
          <w:szCs w:val="32"/>
          <w:lang w:eastAsia="zh-CN"/>
        </w:rPr>
        <w:t xml:space="preserve">%；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4</w:t>
      </w:r>
      <w:r>
        <w:rPr>
          <w:rFonts w:hint="eastAsia"/>
          <w:color w:val="auto"/>
          <w:sz w:val="32"/>
          <w:szCs w:val="32"/>
          <w:lang w:eastAsia="zh-CN"/>
        </w:rPr>
        <w:t xml:space="preserve">：项目按计划完工时间，指标值：≤12月25日，实际完成值：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=11月19日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100.00</w:t>
      </w:r>
      <w:r>
        <w:rPr>
          <w:rFonts w:hint="eastAsia"/>
          <w:color w:val="auto"/>
          <w:sz w:val="32"/>
          <w:szCs w:val="32"/>
          <w:lang w:eastAsia="zh-CN"/>
        </w:rPr>
        <w:t xml:space="preserve">%。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4.成本指标：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指标1</w:t>
      </w:r>
      <w:r>
        <w:rPr>
          <w:rFonts w:hint="eastAsia"/>
          <w:color w:val="auto"/>
          <w:sz w:val="32"/>
          <w:szCs w:val="32"/>
          <w:highlight w:val="none"/>
          <w:lang w:eastAsia="zh-CN"/>
        </w:rPr>
        <w:t xml:space="preserve">：建筑工程费，指标值：≤1331.01万元，实际完成值：</w:t>
      </w: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 xml:space="preserve">=</w:t>
      </w:r>
      <w:r>
        <w:rPr>
          <w:rFonts w:hint="eastAsia"/>
          <w:color w:val="auto"/>
          <w:sz w:val="32"/>
          <w:szCs w:val="32"/>
          <w:highlight w:val="none"/>
          <w:lang w:eastAsia="zh-CN"/>
        </w:rPr>
        <w:t xml:space="preserve">1061.173万元，指标完成率</w:t>
      </w: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 xml:space="preserve">79.73</w:t>
      </w:r>
      <w:r>
        <w:rPr>
          <w:rFonts w:hint="eastAsia"/>
          <w:color w:val="auto"/>
          <w:sz w:val="32"/>
          <w:szCs w:val="32"/>
          <w:highlight w:val="none"/>
          <w:lang w:eastAsia="zh-CN"/>
        </w:rPr>
        <w:t xml:space="preserve">%，</w:t>
      </w: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 xml:space="preserve">偏差原因：项目部分款项未达合同约定付款节点，且验收结算流程正在推进中，导致费用未能及时全额支付</w:t>
      </w:r>
      <w:r>
        <w:rPr>
          <w:rFonts w:hint="eastAsia"/>
          <w:color w:val="auto"/>
          <w:sz w:val="32"/>
          <w:szCs w:val="32"/>
          <w:highlight w:val="none"/>
          <w:lang w:eastAsia="zh-CN"/>
        </w:rPr>
        <w:t xml:space="preserve">；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指标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2</w:t>
      </w:r>
      <w:r>
        <w:rPr>
          <w:rFonts w:hint="eastAsia"/>
          <w:color w:val="auto"/>
          <w:sz w:val="32"/>
          <w:szCs w:val="32"/>
          <w:lang w:eastAsia="zh-CN"/>
        </w:rPr>
        <w:t xml:space="preserve">：工程建设其他费，指标值：≤136.99万元，实际完成值：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</w:t>
      </w:r>
      <w:r>
        <w:rPr>
          <w:rFonts w:hint="eastAsia"/>
          <w:color w:val="auto"/>
          <w:sz w:val="32"/>
          <w:szCs w:val="32"/>
          <w:lang w:eastAsia="zh-CN"/>
        </w:rPr>
        <w:t xml:space="preserve">45.574万元，指标完成率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33.27</w:t>
      </w:r>
      <w:r>
        <w:rPr>
          <w:rFonts w:hint="eastAsia"/>
          <w:color w:val="auto"/>
          <w:sz w:val="32"/>
          <w:szCs w:val="32"/>
          <w:lang w:eastAsia="zh-CN"/>
        </w:rPr>
        <w:t xml:space="preserve">%，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偏差原因：</w:t>
      </w:r>
      <w:r>
        <w:rPr>
          <w:rFonts w:hint="eastAsia"/>
          <w:color w:val="auto"/>
          <w:sz w:val="32"/>
          <w:szCs w:val="32"/>
          <w:lang w:eastAsia="zh-CN"/>
        </w:rPr>
        <w:t xml:space="preserve">该项目部分费用依靠地方自筹资金，地方自筹资金到位不及时，导致部分款项支付未完成。</w:t>
      </w:r>
    </w:p>
    <w:p>
      <w:pPr>
        <w:spacing w:line="600" w:lineRule="exact"/>
        <w:ind w:firstLine="640" w:firstLineChars="200"/>
        <w:outlineLvl w:val="1"/>
        <w:rPr>
          <w:rFonts w:ascii="仿宋" w:eastAsia="仿宋" w:hint="eastAsia"/>
          <w:b/>
          <w:bCs/>
          <w:sz w:val="32"/>
          <w:szCs w:val="32"/>
        </w:rPr>
      </w:pPr>
      <w:bookmarkStart w:id="15" w:name="_Toc2567"/>
      <w:r>
        <w:rPr>
          <w:rFonts w:ascii="仿宋" w:eastAsia="仿宋" w:hint="eastAsia"/>
          <w:b/>
          <w:bCs/>
          <w:sz w:val="32"/>
          <w:szCs w:val="32"/>
        </w:rPr>
        <w:t xml:space="preserve">（四）项目效益情况</w:t>
      </w:r>
      <w:bookmarkEnd w:id="15"/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项目效益类指标包括项目实施效益和满意度两方面的内容，由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2</w:t>
      </w:r>
      <w:r>
        <w:rPr>
          <w:rFonts w:hint="eastAsia"/>
          <w:color w:val="auto"/>
          <w:sz w:val="32"/>
          <w:szCs w:val="32"/>
          <w:lang w:eastAsia="zh-CN"/>
        </w:rPr>
        <w:t xml:space="preserve">个三级指标构成，权重分</w:t>
      </w:r>
      <w:r>
        <w:rPr>
          <w:rFonts w:hint="eastAsia"/>
          <w:color w:val="auto"/>
          <w:sz w:val="32"/>
          <w:szCs w:val="32"/>
          <w:highlight w:val="none"/>
          <w:lang w:eastAsia="zh-CN"/>
        </w:rPr>
        <w:t xml:space="preserve">为</w:t>
      </w: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 xml:space="preserve">2</w:t>
      </w:r>
      <w:r>
        <w:rPr>
          <w:rFonts w:hint="eastAsia"/>
          <w:color w:val="auto"/>
          <w:sz w:val="32"/>
          <w:szCs w:val="32"/>
          <w:highlight w:val="none"/>
          <w:lang w:eastAsia="zh-CN"/>
        </w:rPr>
        <w:t xml:space="preserve">0分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，实际得分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20</w:t>
      </w:r>
      <w:r>
        <w:rPr>
          <w:rFonts w:hint="eastAsia"/>
          <w:color w:val="auto"/>
          <w:sz w:val="32"/>
          <w:szCs w:val="32"/>
          <w:lang w:eastAsia="zh-CN"/>
        </w:rPr>
        <w:t xml:space="preserve">分，得分率为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100</w:t>
      </w:r>
      <w:r>
        <w:rPr>
          <w:rFonts w:hint="eastAsia"/>
          <w:color w:val="auto"/>
          <w:sz w:val="32"/>
          <w:szCs w:val="32"/>
          <w:lang w:eastAsia="zh-CN"/>
        </w:rPr>
        <w:t xml:space="preserve">%。具体效益指标及满意度指标完成情况如下：</w:t>
      </w:r>
    </w:p>
    <w:p>
      <w:pPr>
        <w:spacing w:line="600" w:lineRule="exact"/>
        <w:ind w:firstLine="640" w:firstLineChars="200"/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1.实施效益</w:t>
      </w:r>
    </w:p>
    <w:p>
      <w:pPr>
        <w:spacing w:line="600" w:lineRule="exact"/>
        <w:ind w:firstLine="640" w:firstLineChars="200"/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(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1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)社会效益指标：指标1：正常运转率，指标值：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=100%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，实际完成值：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=100%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，指标完成率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100.00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%；</w:t>
      </w:r>
    </w:p>
    <w:p>
      <w:pPr>
        <w:spacing w:line="600" w:lineRule="exact"/>
        <w:ind w:firstLine="640" w:firstLineChars="200"/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指标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2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：改善都拉塔口岸居民生活质量，指标值：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有效改善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，实际完成值：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有效改善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，指标完成率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100.00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%；</w:t>
      </w:r>
    </w:p>
    <w:p>
      <w:pPr>
        <w:spacing w:line="600" w:lineRule="exact"/>
        <w:ind w:firstLine="640" w:firstLineChars="200"/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2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.满意度</w:t>
      </w:r>
    </w:p>
    <w:p>
      <w:pPr>
        <w:spacing w:line="600" w:lineRule="exact"/>
        <w:ind w:firstLine="640" w:firstLineChars="200"/>
        <w:rPr>
          <w:rFonts w:hint="default"/>
          <w:color w:val="FF0000"/>
          <w:sz w:val="32"/>
          <w:szCs w:val="32"/>
          <w:lang w:val="en-US" w:eastAsia="zh-CN"/>
        </w:rPr>
      </w:pP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满意度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指标：指</w:t>
      </w:r>
      <w:r>
        <w:rPr>
          <w:rFonts w:hint="eastAsia"/>
          <w:color w:val="auto"/>
          <w:sz w:val="32"/>
          <w:szCs w:val="32"/>
          <w:lang w:eastAsia="zh-CN"/>
        </w:rPr>
        <w:t xml:space="preserve">标1：居民满意度，指标值：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≥95%</w:t>
      </w:r>
      <w:r>
        <w:rPr>
          <w:rFonts w:hint="eastAsia"/>
          <w:color w:val="auto"/>
          <w:sz w:val="32"/>
          <w:szCs w:val="32"/>
          <w:lang w:eastAsia="zh-CN"/>
        </w:rPr>
        <w:t xml:space="preserve">，实际完成值：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=100%</w:t>
      </w:r>
      <w:r>
        <w:rPr>
          <w:rFonts w:hint="eastAsia"/>
          <w:color w:val="auto"/>
          <w:sz w:val="32"/>
          <w:szCs w:val="32"/>
          <w:lang w:eastAsia="zh-CN"/>
        </w:rPr>
        <w:t xml:space="preserve">，指标完成率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105.26%，偏差原因：本次满意度调研共收回有效样本10份，全员反馈结果为满意，受访者满意度达100%。</w:t>
      </w:r>
    </w:p>
    <w:p>
      <w:pPr>
        <w:spacing w:line="600" w:lineRule="exact"/>
        <w:ind w:firstLine="640" w:firstLineChars="200"/>
        <w:outlineLvl w:val="1"/>
        <w:rPr>
          <w:rFonts w:ascii="仿宋" w:eastAsia="仿宋" w:hint="eastAsia"/>
          <w:b/>
          <w:bCs/>
          <w:sz w:val="32"/>
          <w:szCs w:val="32"/>
        </w:rPr>
      </w:pPr>
      <w:bookmarkStart w:id="16" w:name="_Toc11035"/>
      <w:r>
        <w:rPr>
          <w:rFonts w:ascii="仿宋" w:eastAsia="仿宋" w:hint="eastAsia"/>
          <w:b/>
          <w:bCs/>
          <w:sz w:val="32"/>
          <w:szCs w:val="32"/>
        </w:rPr>
        <w:t xml:space="preserve">（五）预算执行进度与绩效指标总体完成率偏差</w:t>
      </w:r>
      <w:bookmarkEnd w:id="16"/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 xml:space="preserve">都拉塔口岸基础设施升级改造项目（2024年供排水）年初预算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0.00</w:t>
      </w:r>
      <w:r>
        <w:rPr>
          <w:rFonts w:hint="eastAsia"/>
          <w:color w:val="auto"/>
          <w:sz w:val="32"/>
          <w:szCs w:val="32"/>
          <w:lang w:eastAsia="zh-CN"/>
        </w:rPr>
        <w:t xml:space="preserve">万元，全年预算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1468.00</w:t>
      </w:r>
      <w:r>
        <w:rPr>
          <w:rFonts w:hint="eastAsia"/>
          <w:color w:val="auto"/>
          <w:sz w:val="32"/>
          <w:szCs w:val="32"/>
          <w:lang w:eastAsia="zh-CN"/>
        </w:rPr>
        <w:t xml:space="preserve">万元，实际支出1106.75万元，预算执行率为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75.39</w:t>
      </w:r>
      <w:r>
        <w:rPr>
          <w:rFonts w:hint="eastAsia"/>
          <w:color w:val="auto"/>
          <w:sz w:val="32"/>
          <w:szCs w:val="32"/>
          <w:lang w:eastAsia="zh-CN"/>
        </w:rPr>
        <w:t xml:space="preserve">%，项目绩效指标总体完成率为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96.66</w:t>
      </w:r>
      <w:r>
        <w:rPr>
          <w:rFonts w:hint="eastAsia"/>
          <w:color w:val="auto"/>
          <w:sz w:val="32"/>
          <w:szCs w:val="32"/>
          <w:lang w:eastAsia="zh-CN"/>
        </w:rPr>
        <w:t xml:space="preserve">%，总体偏差率为</w:t>
      </w: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 xml:space="preserve">21.27</w:t>
      </w:r>
      <w:r>
        <w:rPr>
          <w:rFonts w:hint="eastAsia"/>
          <w:color w:val="auto"/>
          <w:sz w:val="32"/>
          <w:szCs w:val="32"/>
          <w:highlight w:val="none"/>
          <w:lang w:eastAsia="zh-CN"/>
        </w:rPr>
        <w:t xml:space="preserve">%</w:t>
      </w:r>
      <w:r>
        <w:rPr>
          <w:rFonts w:hint="eastAsia"/>
          <w:color w:val="auto"/>
          <w:sz w:val="32"/>
          <w:szCs w:val="32"/>
          <w:lang w:eastAsia="zh-CN"/>
        </w:rPr>
        <w:t xml:space="preserve">，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偏差原因：项目竣工</w:t>
      </w:r>
      <w:r>
        <w:rPr>
          <w:rFonts w:hint="eastAsia"/>
          <w:color w:val="auto"/>
          <w:sz w:val="32"/>
          <w:szCs w:val="32"/>
          <w:lang w:eastAsia="zh-CN"/>
        </w:rPr>
        <w:t xml:space="preserve">结算流程正在推进中，部分款项未达合同约定付款节点，导致费用未能及时全额支付。改进措施：优化付款计划，明确各阶段支付节点；加快验收结算进度，加强与施工方沟通，确保费用按合同及时支付到位。</w:t>
      </w:r>
    </w:p>
    <w:p>
      <w:pPr>
        <w:spacing w:line="600" w:lineRule="exact"/>
        <w:ind w:firstLine="640" w:firstLineChars="200"/>
        <w:outlineLvl w:val="0"/>
        <w:rPr>
          <w:rFonts w:ascii="黑体" w:eastAsia="黑体" w:hAnsi="黑体" w:hint="eastAsia"/>
          <w:sz w:val="32"/>
          <w:szCs w:val="32"/>
        </w:rPr>
      </w:pPr>
      <w:bookmarkStart w:id="17" w:name="_Toc16488"/>
      <w:r>
        <w:rPr>
          <w:rFonts w:ascii="黑体" w:eastAsia="黑体" w:hAnsi="黑体" w:hint="eastAsia"/>
          <w:sz w:val="32"/>
          <w:szCs w:val="32"/>
        </w:rPr>
        <w:t xml:space="preserve">五、主要经验及做法、存在的问题及原因分析</w:t>
      </w:r>
      <w:bookmarkEnd w:id="17"/>
    </w:p>
    <w:p>
      <w:pPr>
        <w:spacing w:line="600" w:lineRule="exact"/>
        <w:ind w:firstLine="640" w:firstLineChars="200"/>
        <w:outlineLvl w:val="1"/>
        <w:rPr>
          <w:rFonts w:ascii="仿宋" w:eastAsia="仿宋" w:hint="eastAsia"/>
          <w:b/>
          <w:bCs/>
          <w:sz w:val="32"/>
          <w:szCs w:val="32"/>
        </w:rPr>
      </w:pPr>
      <w:bookmarkStart w:id="18" w:name="_Toc2067"/>
      <w:r>
        <w:rPr>
          <w:rFonts w:ascii="仿宋" w:eastAsia="仿宋" w:hint="eastAsia"/>
          <w:b/>
          <w:bCs/>
          <w:sz w:val="32"/>
          <w:szCs w:val="32"/>
        </w:rPr>
        <w:t xml:space="preserve">（一）主要经验及做法</w:t>
      </w:r>
      <w:bookmarkEnd w:id="18"/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spacing w:line="600" w:lineRule="exact"/>
        <w:ind w:firstLine="640" w:firstLineChars="200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严格坚持先做事、后验收、再拨付的原则，杜绝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spacing w:line="600" w:lineRule="exact"/>
        <w:ind w:firstLine="640" w:firstLineChars="200"/>
        <w:outlineLvl w:val="1"/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</w:pPr>
      <w:bookmarkStart w:id="19" w:name="_Toc1745"/>
      <w:bookmarkStart w:id="20" w:name="_Toc28667"/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（二）存在的问题及原因分析</w:t>
      </w:r>
      <w:bookmarkEnd w:id="19"/>
    </w:p>
    <w:p>
      <w:pPr>
        <w:spacing w:line="600" w:lineRule="exact"/>
        <w:ind w:firstLine="640" w:firstLineChars="200"/>
        <w:outlineLvl w:val="1"/>
        <w:rPr>
          <w:rFonts w:ascii="方正仿宋简体" w:eastAsia="方正仿宋简体" w:hAnsi="方正仿宋简体" w:cs="方正仿宋简体" w:hint="default"/>
          <w:b/>
          <w:bCs/>
          <w:sz w:val="32"/>
          <w:szCs w:val="32"/>
          <w:highlight w:val="none"/>
          <w:lang w:val="en-US" w:eastAsia="zh-CN"/>
        </w:rPr>
      </w:pP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  <w:highlight w:val="none"/>
          <w:lang w:val="en-US" w:eastAsia="zh-CN"/>
        </w:rPr>
        <w:t xml:space="preserve">1.存在的问题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ascii="方正仿宋简体" w:eastAsia="方正仿宋简体" w:hAnsi="方正仿宋简体" w:cs="方正仿宋简体" w:hint="eastAsia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highlight w:val="none"/>
          <w:lang w:val="en-US" w:eastAsia="zh-CN"/>
        </w:rPr>
        <w:t xml:space="preserve">（1）</w:t>
      </w:r>
      <w:r>
        <w:rPr>
          <w:rFonts w:ascii="方正仿宋简体" w:eastAsia="方正仿宋简体" w:hAnsi="方正仿宋简体" w:cs="方正仿宋简体" w:hint="eastAsia"/>
          <w:kern w:val="2"/>
          <w:sz w:val="32"/>
          <w:szCs w:val="32"/>
          <w:highlight w:val="none"/>
          <w:lang w:val="en-US" w:eastAsia="zh-CN" w:bidi="ar-SA"/>
        </w:rPr>
        <w:t xml:space="preserve">工作资料收集困难较大，对绩效工作的及时性有较大的影响。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highlight w:val="none"/>
          <w:lang w:val="en-US" w:eastAsia="zh-CN"/>
        </w:rPr>
        <w:t xml:space="preserve">（2）绩效工作人员业务水平不高，无法及时合规完成绩效管理工作。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ascii="方正仿宋简体" w:eastAsia="方正仿宋简体" w:hAnsi="方正仿宋简体" w:cs="方正仿宋简体" w:hint="eastAsia"/>
          <w:b/>
          <w:bCs/>
          <w:color w:val="auto"/>
          <w:sz w:val="32"/>
          <w:szCs w:val="32"/>
          <w:highlight w:val="none"/>
          <w:lang w:val="en-US" w:eastAsia="zh-CN"/>
        </w:rPr>
        <w:t xml:space="preserve">2.原因分析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highlight w:val="none"/>
          <w:lang w:val="en-US" w:eastAsia="zh-CN"/>
        </w:rPr>
        <w:t xml:space="preserve">（1）口岸管委会</w:t>
      </w:r>
      <w:r>
        <w:rPr>
          <w:rFonts w:ascii="方正仿宋简体" w:eastAsia="方正仿宋简体" w:hAnsi="方正仿宋简体" w:cs="方正仿宋简体" w:hint="eastAsia"/>
          <w:kern w:val="2"/>
          <w:sz w:val="32"/>
          <w:szCs w:val="32"/>
          <w:highlight w:val="none"/>
          <w:lang w:val="en-US" w:eastAsia="zh-CN" w:bidi="ar-SA"/>
        </w:rPr>
        <w:t xml:space="preserve">各部门对全面绩效管理工作认识和重视程度不够，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highlight w:val="none"/>
          <w:lang w:val="en-US" w:eastAsia="zh-CN"/>
        </w:rPr>
        <w:t xml:space="preserve">对绩效管理的系统性学习有待加强。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highlight w:val="none"/>
          <w:lang w:val="en-US" w:eastAsia="zh-CN"/>
        </w:rPr>
        <w:t xml:space="preserve">（2）绩效工作人员缺乏系统性学习培训，在绩效自评过程中，部分人员缺乏相关绩效管理专业知识，自评价工作还存在自我审定的局限性，影响评价质量。</w:t>
      </w:r>
      <w:bookmarkStart w:id="21" w:name="_Toc1032"/>
    </w:p>
    <w:p>
      <w:pPr>
        <w:spacing w:line="600" w:lineRule="exact"/>
        <w:ind w:firstLine="640" w:firstLineChars="200"/>
        <w:outlineLvl w:val="0"/>
        <w:rPr>
          <w:rFonts w:ascii="黑体" w:eastAsia="黑体" w:hAnsi="黑体" w:hint="eastAsia"/>
          <w:sz w:val="32"/>
          <w:szCs w:val="32"/>
          <w:highlight w:val="none"/>
        </w:rPr>
      </w:pPr>
      <w:r>
        <w:rPr>
          <w:rFonts w:ascii="黑体" w:eastAsia="黑体" w:hAnsi="黑体" w:hint="eastAsia"/>
          <w:sz w:val="32"/>
          <w:szCs w:val="32"/>
          <w:highlight w:val="none"/>
          <w:lang w:val="en-US" w:eastAsia="zh-CN"/>
        </w:rPr>
        <w:t xml:space="preserve">六、</w:t>
      </w:r>
      <w:r>
        <w:rPr>
          <w:rFonts w:ascii="黑体" w:eastAsia="黑体" w:hAnsi="黑体" w:hint="eastAsia"/>
          <w:sz w:val="32"/>
          <w:szCs w:val="32"/>
          <w:highlight w:val="none"/>
        </w:rPr>
        <w:t xml:space="preserve">有关建议</w:t>
      </w:r>
      <w:bookmarkEnd w:id="21"/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eastAsia="zh-CN"/>
        </w:rPr>
        <w:t xml:space="preserve">（一）加大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绩效管理工作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eastAsia="zh-CN"/>
        </w:rPr>
        <w:t xml:space="preserve">系统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培训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eastAsia="zh-CN"/>
        </w:rPr>
        <w:t xml:space="preserve">力度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。组织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eastAsia="zh-CN"/>
        </w:rPr>
        <w:t xml:space="preserve">专家和优秀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第三方开展绩效管理工作培训，进一步夯实业务基础，提高绩效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eastAsia="zh-CN"/>
        </w:rPr>
        <w:t xml:space="preserve">工作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人员水平。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eastAsia="zh-CN"/>
        </w:rPr>
        <w:t xml:space="preserve">（二）落实好绩效管理制度并制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定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eastAsia="zh-CN"/>
        </w:rPr>
        <w:t xml:space="preserve">针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对绩效工作人员定职、定岗、定责等相关制度措施，进一步提升单位绩效管理工作业务水平，扎实做好绩效管理工作。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eastAsia="zh-CN"/>
        </w:rPr>
        <w:t xml:space="preserve">（三）加强建设项目全过程管理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eastAsia="zh-CN"/>
        </w:rPr>
        <w:t xml:space="preserve">（四）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完善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eastAsia="zh-CN"/>
        </w:rPr>
        <w:t xml:space="preserve">落实各部门工作职责，及时上报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项目评价过程中有关数据和资料的收集、整理、审核及分析。项目启动时同步做好档案的归纳与整理，及时整理、收集、汇总，健全档案资料。项目后续管理有待进一步加强和跟踪。</w:t>
      </w:r>
    </w:p>
    <w:p>
      <w:pPr>
        <w:spacing w:line="600" w:lineRule="exact"/>
        <w:ind w:firstLine="640" w:firstLineChars="200"/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  <w:lang w:eastAsia="zh-CN"/>
        </w:rPr>
        <w:t xml:space="preserve">（五）</w:t>
      </w:r>
      <w:r>
        <w:rPr>
          <w:rFonts w:ascii="方正仿宋简体" w:eastAsia="方正仿宋简体" w:hAnsi="方正仿宋简体" w:cs="方正仿宋简体" w:hint="eastAsia"/>
          <w:color w:val="auto"/>
          <w:sz w:val="32"/>
          <w:szCs w:val="32"/>
        </w:rPr>
        <w:t xml:space="preserve">进一步加强对绩效管理工作的组织领导，提高对预算绩效管理工作重要性的认识，总结经验查找问题，抓紧研究制定更全面更完善的绩效评价管理办法。建立绩效工作考核制度，加大对全面实施预算绩效管理和绩效管理工作的学习力度，让“花钱必问效，无效必问责”的理念深入工作每个环节。</w:t>
      </w:r>
    </w:p>
    <w:p>
      <w:pPr>
        <w:spacing w:line="600" w:lineRule="exact"/>
        <w:ind w:firstLine="640" w:firstLineChars="200"/>
        <w:outlineLvl w:val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七、其他需要说明的问题</w:t>
      </w:r>
      <w:bookmarkEnd w:id="20"/>
    </w:p>
    <w:p>
      <w:pPr>
        <w:spacing w:line="600" w:lineRule="exact"/>
        <w:ind w:firstLine="640" w:firstLineChars="20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本项目无其他需说明的问题。</w:t>
      </w:r>
    </w:p>
    <w:p>
      <w:pPr>
        <w:spacing w:line="600" w:lineRule="exact"/>
        <w:ind w:firstLine="640" w:firstLineChars="200"/>
        <w:rPr>
          <w:color w:val="FF0000"/>
          <w:sz w:val="32"/>
          <w:szCs w:val="32"/>
        </w:rPr>
      </w:pPr>
    </w:p>
    <w:sectPr>
      <w:footerReference w:type="default" r:id="rId3"/>
      <w:pgSz w:w="11906" w:h="16838" w:orient="portrait"/>
      <w:pgMar w:top="1928" w:right="1531" w:bottom="1701" w:left="1531" w:header="737" w:footer="851" w:gutter="0"/>
      <w:pgBorders/>
      <w:pgNumType w:fmt="decimal" w:start="1"/>
      <w:cols w:num="1" w:space="720">
        <w:col w:w="8844" w:space="720"/>
      </w:cols>
      <w:docGrid w:type="lines" w:linePitch="408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015C39-4424-4EF5-A71E-6E03E3127B6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A57336C-6CA7-4667-8CB9-489744124FBD}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3" w:fontKey="{4440962C-3684-4600-8A8A-265ECF707791}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4" w:fontKey="{2C4A0BD5-7634-410C-A26B-A301A7828BE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973AFC15-5153-472C-8789-D563AA0D8CCE}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Footer"/>
    </w:pPr>
    <w:r>
      <w:rPr>
        <w:sz w:val="18"/>
      </w:rPr>
      <mc:AlternateContent xmlns:mc="http://schemas.openxmlformats.org/markup-compatibility/2006"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 xml:space="preserve"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 xml:space="preserve"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2"/>
      <w:numFmt w:val="decimal"/>
      <w:suff w:val="tab"/>
      <w:lvlText w:val="(%1)"/>
      <w:lvlJc w:val="left"/>
      <w:pPr>
        <w:tabs>
          <w:tab w:val="left" w:pos="312"/>
        </w:tabs>
      </w:pPr>
      <w:rPr/>
    </w:lvl>
  </w:abstractNum>
  <w:abstractNum w:abstractNumId="3">
    <w:multiLevelType w:val="singleLevel"/>
    <w:lvl w:ilvl="0">
      <w:start w:val="1"/>
      <w:numFmt w:val="decimal"/>
      <w:suff w:val="tab"/>
      <w:lvlText w:val="%1."/>
      <w:lvlJc w:val="left"/>
      <w:pPr>
        <w:tabs>
          <w:tab w:val="left" w:pos="312"/>
        </w:tabs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90"/>
  <w:embedTrueTypeFonts/>
  <w:saveSubsetFonts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NDQwMGQ0ZTNiODcyMDEyOGM4ZDJlN2U3YWViNmQzNzUifQ=="/>
  </w:docVars>
  <m:mathPr>
    <m:mathFont m:val="Cambria Math"/>
    <m:brkBin m:val="before"/>
    <m:brkBinSub m:val="--"/>
    <m:smallFrac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qFormat="1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Char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标题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asciiTheme="majorHAnsi" w:eastAsiaTheme="majorEastAsia" w:hAnsiTheme="majorHAnsi" w:cs="Times New Roman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Comment Text"/>
    <w:basedOn w:val="Normal"/>
    <w:uiPriority w:val="99"/>
    <w:semiHidden/>
    <w:unhideWhenUsed/>
    <w:qFormat/>
    <w:pPr>
      <w:jc w:val="left"/>
    </w:pPr>
    <w:rPr/>
  </w:style>
  <w:style w:type="paragraph" w:styleId="Footer">
    <w:name w:val="Footer"/>
    <w:basedOn w:val="Normal"/>
    <w:link w:val="页脚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页眉Char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qFormat/>
    <w:pPr>
      <w:widowControl/>
      <w:spacing w:after="100" w:line="259" w:lineRule="auto"/>
      <w:jc w:val="left"/>
    </w:pPr>
    <w:rPr>
      <w:rFonts w:ascii="等线" w:eastAsia="等线" w:hAnsi="等线" w:asciiTheme="minorHAnsi" w:eastAsiaTheme="minorEastAsia" w:hAnsiTheme="minorHAnsi"/>
      <w:kern w:val="0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widowControl/>
      <w:spacing w:after="100" w:line="259" w:lineRule="auto"/>
      <w:ind w:left="220"/>
      <w:jc w:val="left"/>
    </w:pPr>
    <w:rPr>
      <w:rFonts w:ascii="等线" w:eastAsia="等线" w:hAnsi="等线" w:asciiTheme="minorHAnsi" w:eastAsiaTheme="minorEastAsia" w:hAnsiTheme="minorHAnsi"/>
      <w:kern w:val="0"/>
      <w:sz w:val="22"/>
      <w:szCs w:val="22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标题1Char">
    <w:name w:val="标题 1 Char"/>
    <w:basedOn w:val="DefaultParagraphFont"/>
    <w:link w:val="Heading1"/>
    <w:uiPriority w:val="9"/>
    <w:qFormat/>
    <w:rPr>
      <w:rFonts w:ascii="Times New Roman" w:eastAsia="仿宋_GB2312" w:hAnsi="Times New Roman" w:cs="Times New Roman"/>
      <w:b/>
      <w:bCs/>
      <w:kern w:val="44"/>
      <w:sz w:val="44"/>
      <w:szCs w:val="44"/>
    </w:rPr>
  </w:style>
  <w:style w:type="character" w:customStyle="1" w:styleId="标题2Char">
    <w:name w:val="标题 2 Char"/>
    <w:basedOn w:val="DefaultParagraphFont"/>
    <w:link w:val="Heading2"/>
    <w:autoRedefine/>
    <w:uiPriority w:val="9"/>
    <w:qFormat/>
    <w:rPr>
      <w:rFonts w:ascii="等线 Light" w:eastAsia="等线 Light" w:hAnsi="等线 Light" w:asciiTheme="majorHAnsi" w:eastAsiaTheme="majorEastAsia" w:hAnsiTheme="majorHAnsi" w:cs="Times New Roman" w:cstheme="majorBidi"/>
      <w:b/>
      <w:bCs/>
      <w:sz w:val="32"/>
      <w:szCs w:val="32"/>
    </w:rPr>
  </w:style>
  <w:style w:type="paragraph" w:customStyle="1" w:styleId="TOC标题1">
    <w:name w:val="TOC 标题1"/>
    <w:basedOn w:val="Heading1"/>
    <w:next w:val="Normal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 w:asciiTheme="majorHAnsi" w:eastAsiaTheme="majorEastAsia" w:hAnsiTheme="majorHAnsi" w:cs="Times New Roman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页眉Char">
    <w:name w:val="页眉 Char"/>
    <w:basedOn w:val="DefaultParagraphFont"/>
    <w:link w:val="Header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页脚Char">
    <w:name w:val="页脚 Char"/>
    <w:basedOn w:val="DefaultParagraphFont"/>
    <w:link w:val="Footer"/>
    <w:autoRedefine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paragraph" w:customStyle="1" w:styleId="WPSOffice手动目录1">
    <w:name w:val="WPSOffice手动目录 1"/>
    <w:qFormat/>
    <w:pPr>
      <w:ind w:leftChars="0"/>
    </w:pPr>
    <w:rPr>
      <w:rFonts w:ascii="等线" w:eastAsia="等线" w:hAnsi="等线" w:asciiTheme="minorHAnsi" w:eastAsiaTheme="minorEastAsia" w:hAnsiTheme="minorHAnsi" w:cs="Arial" w:cstheme="minorBidi"/>
      <w:sz w:val="20"/>
      <w:szCs w:val="20"/>
    </w:rPr>
  </w:style>
  <w:style w:type="paragraph" w:customStyle="1" w:styleId="WPSOffice手动目录2">
    <w:name w:val="WPSOffice手动目录 2"/>
    <w:qFormat/>
    <w:pPr>
      <w:ind w:leftChars="200"/>
    </w:pPr>
    <w:rPr>
      <w:rFonts w:ascii="等线" w:eastAsia="等线" w:hAnsi="等线" w:asciiTheme="minorHAnsi" w:eastAsiaTheme="minorEastAsia" w:hAnsiTheme="minorHAnsi" w:cs="Arial" w:cstheme="minorBidi"/>
      <w:sz w:val="20"/>
      <w:szCs w:val="20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/Relationships>
</file>

<file path=word/_rels/fontTable.xml.rels><?xml version='1.0' encoding='UTF-8' standalone='yes'?>
<Relationships xmlns="http://schemas.openxmlformats.org/package/2006/relationships"><Relationship Id="rId1" Type="http://schemas.openxmlformats.org/officeDocument/2006/relationships/font" Target="fonts/font1.odttf"/><Relationship Id="rId2" Type="http://schemas.openxmlformats.org/officeDocument/2006/relationships/font" Target="fonts/font2.odttf"/><Relationship Id="rId3" Type="http://schemas.openxmlformats.org/officeDocument/2006/relationships/font" Target="fonts/font3.odttf"/><Relationship Id="rId4" Type="http://schemas.openxmlformats.org/officeDocument/2006/relationships/font" Target="fonts/font4.odttf"/><Relationship Id="rId5" Type="http://schemas.openxmlformats.org/officeDocument/2006/relationships/font" Target="fonts/font5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A1A6407C463844C89D2B421AF829B1EE_13</vt:lpwstr>
  </property>
  <property fmtid="{D5CDD505-2E9C-101B-9397-08002B2CF9AE}" pid="4" name="KSOTemplateDocerSaveRecord">
    <vt:lpwstr>eyJoZGlkIjoiYTJhYjE4NzRkYTczOTc5NzdjOGU2MjgxNzhiN2E0MzUifQ==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45</TotalTime>
  <Pages>26</Pages>
  <Words>8327</Words>
  <Characters>8781</Characters>
  <Application>WPS Office_12.1.0.21171_F1E327BC-269C-435d-A152-05C5408002CA</Application>
  <DocSecurity>0</DocSecurity>
  <Lines>39</Lines>
  <Paragraphs>11</Paragraphs>
  <CharactersWithSpaces>8847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翘楚</dc:creator>
  <cp:lastModifiedBy>Administrator</cp:lastModifiedBy>
  <cp:revision>5</cp:revision>
  <cp:lastPrinted>2025-05-26T05:45:00Z</cp:lastPrinted>
  <dcterms:created xsi:type="dcterms:W3CDTF">2021-04-07T08:01:00Z</dcterms:created>
  <dcterms:modified xsi:type="dcterms:W3CDTF">2025-05-30T04:08:16Z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2052-12.1.0.21171</vt:lpwstr>
  </property>
  <property fmtid="{D5CDD505-2E9C-101B-9397-08002B2CF9AE}" pid="3" name="ICV">
    <vt:lpwstr>A1A6407C463844C89D2B421AF829B1EE_13</vt:lpwstr>
  </property>
  <property fmtid="{D5CDD505-2E9C-101B-9397-08002B2CF9AE}" pid="4" name="KSOTemplateDocerSaveRecord">
    <vt:lpwstr>eyJoZGlkIjoiYTJhYjE4NzRkYTczOTc5NzdjOGU2MjgxNzhiN2E0MzUifQ_x003D__x003D_</vt:lpwstr>
  </property>
</Properties>
</file>